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Materiaalkosten per categorie</w:t>
      </w:r>
    </w:p>
    <w:p>
      <w:r>
        <w:drawing>
          <wp:inline distT="0" distB="0" distL="0" distR="0">
            <wp:extent cx="5486400" cy="3200400"/>
            <wp:docPr id="1" name="Grafiek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Grafiek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Grafiek1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Kosten</a:t>
            </a:r>
          </a:p>
        </c:rich>
      </c:tx>
      <c:overlay val="0"/>
    </c:title>
    <c:plotArea>
      <c:barChart>
        <c:barDir val="col"/>
        <c:grouping val="clustered"/>
        <c:ser>
          <c:idx val="0"/>
          <c:order val="0"/>
          <c:tx>
            <c:v>Totaal</c:v>
          </c:tx>
          <c:cat>
            <c:strLit>
              <c:ptCount val="4"/>
              <c:pt idx="0">
                <c:v>Plaatmateriaal</c:v>
              </c:pt>
              <c:pt idx="1">
                <c:v>Constructie</c:v>
              </c:pt>
              <c:pt idx="2">
                <c:v>Afwerking</c:v>
              </c:pt>
              <c:pt idx="3">
                <c:v>Verbindingen</c:v>
              </c:pt>
            </c:strLit>
          </c:cat>
          <c:val>
            <c:numLit>
              <c:ptCount val="4"/>
              <c:pt idx="0">
                <c:v>924</c:v>
              </c:pt>
              <c:pt idx="1">
                <c:v>525</c:v>
              </c:pt>
              <c:pt idx="2">
                <c:v>1155.5</c:v>
              </c:pt>
              <c:pt idx="3">
                <c:v>283.5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OpenAEC Office Studio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