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Autonomous Options Research Pipeline</w:t>
      </w:r>
    </w:p>
    <w:p>
      <w:pPr>
        <w:spacing w:after="240"/>
      </w:pPr>
      <w:r>
        <w:rPr>
          <w:color w:val="526174"/>
          <w:sz w:val="22"/>
        </w:rPr>
        <w:t>Workflow, agent roles, decision controls, and implementation boundaries</w:t>
      </w:r>
    </w:p>
    <w:p>
      <w:r>
        <w:t>The research system combines a deterministic options-analysis pipeline with an LLM-enabled Think agent wrapper. The pipeline retrieves and checks market data, forms and challenges strategy candidates, calculates payoffs, applies explicit gates, and stores a reviewable report. The Think workflow provides tool dispatch and faithful explanation; it does not authorize or execute trades.</w:t>
      </w:r>
    </w:p>
    <w:p>
      <w:r>
        <w:t>This document describes the end-to-end flow and the three operating frameworks that govern it: GPS defines the research goal and proof standard, ARR defines how autonomous recurring work remains reviewable, and OODA describes the repeated decision loop used while evaluating candidates.</w:t>
      </w:r>
    </w:p>
    <w:p>
      <w:pPr>
        <w:pStyle w:val="Heading1"/>
      </w:pPr>
      <w:r>
        <w:t>At a glance</w:t>
      </w:r>
    </w:p>
    <w:tbl>
      <w:tblPr>
        <w:tblStyle w:val="TableGrid"/>
        <w:tblW w:type="auto" w:w="0"/>
        <w:jc w:val="center"/>
        <w:tblLayout w:type="fixed"/>
        <w:tblLook w:firstColumn="1" w:firstRow="1" w:lastColumn="0" w:lastRow="0" w:noHBand="0" w:noVBand="1" w:val="04A0"/>
      </w:tblPr>
      <w:tblGrid>
        <w:gridCol w:w="3351"/>
        <w:gridCol w:w="3351"/>
        <w:gridCol w:w="3351"/>
      </w:tblGrid>
      <w:tr>
        <w:tc>
          <w:tcPr>
            <w:tcW w:type="dxa" w:w="2088"/>
            <w:vAlign w:val="center"/>
            <w:shd w:fill="14243A"/>
          </w:tcPr>
          <w:p>
            <w:pPr>
              <w:spacing w:after="20"/>
            </w:pPr>
            <w:r/>
            <w:r>
              <w:rPr>
                <w:rFonts w:ascii="Aptos" w:hAnsi="Aptos"/>
                <w:b/>
                <w:color w:val="FFFFFF"/>
                <w:sz w:val="16"/>
              </w:rPr>
              <w:t>Framework</w:t>
            </w:r>
          </w:p>
        </w:tc>
        <w:tc>
          <w:tcPr>
            <w:tcW w:type="dxa" w:w="3168"/>
            <w:vAlign w:val="center"/>
            <w:shd w:fill="14243A"/>
          </w:tcPr>
          <w:p>
            <w:pPr>
              <w:spacing w:after="20"/>
            </w:pPr>
            <w:r/>
            <w:r>
              <w:rPr>
                <w:rFonts w:ascii="Aptos" w:hAnsi="Aptos"/>
                <w:b/>
                <w:color w:val="FFFFFF"/>
                <w:sz w:val="16"/>
              </w:rPr>
              <w:t>Question it answers</w:t>
            </w:r>
          </w:p>
        </w:tc>
        <w:tc>
          <w:tcPr>
            <w:tcW w:type="dxa" w:w="5112"/>
            <w:vAlign w:val="center"/>
            <w:shd w:fill="14243A"/>
          </w:tcPr>
          <w:p>
            <w:pPr>
              <w:spacing w:after="20"/>
            </w:pPr>
            <w:r/>
            <w:r>
              <w:rPr>
                <w:rFonts w:ascii="Aptos" w:hAnsi="Aptos"/>
                <w:b/>
                <w:color w:val="FFFFFF"/>
                <w:sz w:val="16"/>
              </w:rPr>
              <w:t>How it is used</w:t>
            </w:r>
          </w:p>
        </w:tc>
      </w:tr>
      <w:tr>
        <w:tc>
          <w:tcPr>
            <w:tcW w:type="dxa" w:w="2088"/>
            <w:vAlign w:val="center"/>
            <w:shd w:fill="F3F6FA"/>
          </w:tcPr>
          <w:p>
            <w:pPr>
              <w:spacing w:after="20"/>
            </w:pPr>
            <w:r/>
            <w:r>
              <w:rPr>
                <w:rFonts w:ascii="Aptos" w:hAnsi="Aptos"/>
                <w:b w:val="0"/>
                <w:color w:val="14243A"/>
                <w:sz w:val="16"/>
              </w:rPr>
              <w:t>GPS — Goal, Proof, Steps</w:t>
            </w:r>
          </w:p>
        </w:tc>
        <w:tc>
          <w:tcPr>
            <w:tcW w:type="dxa" w:w="3168"/>
            <w:vAlign w:val="center"/>
            <w:shd w:fill="F3F6FA"/>
          </w:tcPr>
          <w:p>
            <w:pPr>
              <w:spacing w:after="20"/>
            </w:pPr>
            <w:r/>
            <w:r>
              <w:rPr>
                <w:rFonts w:ascii="Aptos" w:hAnsi="Aptos"/>
                <w:b w:val="0"/>
                <w:color w:val="14243A"/>
                <w:sz w:val="16"/>
              </w:rPr>
              <w:t>What is a good research result, and how can it be verified?</w:t>
            </w:r>
          </w:p>
        </w:tc>
        <w:tc>
          <w:tcPr>
            <w:tcW w:type="dxa" w:w="5112"/>
            <w:vAlign w:val="center"/>
            <w:shd w:fill="F3F6FA"/>
          </w:tcPr>
          <w:p>
            <w:pPr>
              <w:spacing w:after="20"/>
            </w:pPr>
            <w:r/>
            <w:r>
              <w:rPr>
                <w:rFonts w:ascii="Aptos" w:hAnsi="Aptos"/>
                <w:b w:val="0"/>
                <w:color w:val="14243A"/>
                <w:sz w:val="16"/>
              </w:rPr>
              <w:t>Defines the objective, evidence requirements, acceptance checks, and reproducible sequence.</w:t>
            </w:r>
          </w:p>
        </w:tc>
      </w:tr>
      <w:tr>
        <w:tc>
          <w:tcPr>
            <w:tcW w:type="dxa" w:w="2088"/>
            <w:vAlign w:val="center"/>
            <w:shd w:fill="FFFFFF"/>
          </w:tcPr>
          <w:p>
            <w:pPr>
              <w:spacing w:after="20"/>
            </w:pPr>
            <w:r/>
            <w:r>
              <w:rPr>
                <w:rFonts w:ascii="Aptos" w:hAnsi="Aptos"/>
                <w:b w:val="0"/>
                <w:color w:val="14243A"/>
                <w:sz w:val="16"/>
              </w:rPr>
              <w:t>ARR — Autonomous, Recurring, Reviewable</w:t>
            </w:r>
          </w:p>
        </w:tc>
        <w:tc>
          <w:tcPr>
            <w:tcW w:type="dxa" w:w="3168"/>
            <w:vAlign w:val="center"/>
            <w:shd w:fill="FFFFFF"/>
          </w:tcPr>
          <w:p>
            <w:pPr>
              <w:spacing w:after="20"/>
            </w:pPr>
            <w:r/>
            <w:r>
              <w:rPr>
                <w:rFonts w:ascii="Aptos" w:hAnsi="Aptos"/>
                <w:b w:val="0"/>
                <w:color w:val="14243A"/>
                <w:sz w:val="16"/>
              </w:rPr>
              <w:t>What may run on its own, how often, and what record remains?</w:t>
            </w:r>
          </w:p>
        </w:tc>
        <w:tc>
          <w:tcPr>
            <w:tcW w:type="dxa" w:w="5112"/>
            <w:vAlign w:val="center"/>
            <w:shd w:fill="FFFFFF"/>
          </w:tcPr>
          <w:p>
            <w:pPr>
              <w:spacing w:after="20"/>
            </w:pPr>
            <w:r/>
            <w:r>
              <w:rPr>
                <w:rFonts w:ascii="Aptos" w:hAnsi="Aptos"/>
                <w:b w:val="0"/>
                <w:color w:val="14243A"/>
                <w:sz w:val="16"/>
              </w:rPr>
              <w:t>Schedules research-only runs, pauses on blockers, and persists inputs, decisions, versions, and results.</w:t>
            </w:r>
          </w:p>
        </w:tc>
      </w:tr>
      <w:tr>
        <w:tc>
          <w:tcPr>
            <w:tcW w:type="dxa" w:w="2088"/>
            <w:vAlign w:val="center"/>
            <w:shd w:fill="F3F6FA"/>
          </w:tcPr>
          <w:p>
            <w:pPr>
              <w:spacing w:after="20"/>
            </w:pPr>
            <w:r/>
            <w:r>
              <w:rPr>
                <w:rFonts w:ascii="Aptos" w:hAnsi="Aptos"/>
                <w:b w:val="0"/>
                <w:color w:val="14243A"/>
                <w:sz w:val="16"/>
              </w:rPr>
              <w:t>OODA — Observe, Orient, Decide, Act</w:t>
            </w:r>
          </w:p>
        </w:tc>
        <w:tc>
          <w:tcPr>
            <w:tcW w:type="dxa" w:w="3168"/>
            <w:vAlign w:val="center"/>
            <w:shd w:fill="F3F6FA"/>
          </w:tcPr>
          <w:p>
            <w:pPr>
              <w:spacing w:after="20"/>
            </w:pPr>
            <w:r/>
            <w:r>
              <w:rPr>
                <w:rFonts w:ascii="Aptos" w:hAnsi="Aptos"/>
                <w:b w:val="0"/>
                <w:color w:val="14243A"/>
                <w:sz w:val="16"/>
              </w:rPr>
              <w:t>What should the system do next as evidence arrives?</w:t>
            </w:r>
          </w:p>
        </w:tc>
        <w:tc>
          <w:tcPr>
            <w:tcW w:type="dxa" w:w="5112"/>
            <w:vAlign w:val="center"/>
            <w:shd w:fill="F3F6FA"/>
          </w:tcPr>
          <w:p>
            <w:pPr>
              <w:spacing w:after="20"/>
            </w:pPr>
            <w:r/>
            <w:r>
              <w:rPr>
                <w:rFonts w:ascii="Aptos" w:hAnsi="Aptos"/>
                <w:b w:val="0"/>
                <w:color w:val="14243A"/>
                <w:sz w:val="16"/>
              </w:rPr>
              <w:t>Repeats purposeful retrieval, interpretation, candidate selection, and research-state updates within budgets.</w:t>
            </w:r>
          </w:p>
        </w:tc>
      </w:tr>
    </w:tbl>
    <w:p>
      <w:pPr>
        <w:spacing w:after="20"/>
      </w:pPr>
    </w:p>
    <w:p>
      <w:pPr>
        <w:pStyle w:val="Heading1"/>
      </w:pPr>
      <w:r>
        <w:t>System flow</w:t>
      </w:r>
    </w:p>
    <w:tbl>
      <w:tblPr>
        <w:tblStyle w:val="TableGrid"/>
        <w:tblW w:type="auto" w:w="0"/>
        <w:jc w:val="center"/>
        <w:tblLayout w:type="fixed"/>
        <w:tblLook w:firstColumn="1" w:firstRow="1" w:lastColumn="0" w:lastRow="0" w:noHBand="0" w:noVBand="1" w:val="04A0"/>
      </w:tblPr>
      <w:tblGrid>
        <w:gridCol w:w="3351"/>
        <w:gridCol w:w="3351"/>
        <w:gridCol w:w="3351"/>
      </w:tblGrid>
      <w:tr>
        <w:tc>
          <w:tcPr>
            <w:tcW w:type="dxa" w:w="1656"/>
            <w:vAlign w:val="center"/>
            <w:shd w:fill="14243A"/>
          </w:tcPr>
          <w:p>
            <w:pPr>
              <w:spacing w:after="20"/>
            </w:pPr>
            <w:r/>
            <w:r>
              <w:rPr>
                <w:rFonts w:ascii="Aptos" w:hAnsi="Aptos"/>
                <w:b/>
                <w:color w:val="FFFFFF"/>
                <w:sz w:val="16"/>
              </w:rPr>
              <w:t>Stage</w:t>
            </w:r>
          </w:p>
        </w:tc>
        <w:tc>
          <w:tcPr>
            <w:tcW w:type="dxa" w:w="4968"/>
            <w:vAlign w:val="center"/>
            <w:shd w:fill="14243A"/>
          </w:tcPr>
          <w:p>
            <w:pPr>
              <w:spacing w:after="20"/>
            </w:pPr>
            <w:r/>
            <w:r>
              <w:rPr>
                <w:rFonts w:ascii="Aptos" w:hAnsi="Aptos"/>
                <w:b/>
                <w:color w:val="FFFFFF"/>
                <w:sz w:val="16"/>
              </w:rPr>
              <w:t>Primary work</w:t>
            </w:r>
          </w:p>
        </w:tc>
        <w:tc>
          <w:tcPr>
            <w:tcW w:type="dxa" w:w="3744"/>
            <w:vAlign w:val="center"/>
            <w:shd w:fill="14243A"/>
          </w:tcPr>
          <w:p>
            <w:pPr>
              <w:spacing w:after="20"/>
            </w:pPr>
            <w:r/>
            <w:r>
              <w:rPr>
                <w:rFonts w:ascii="Aptos" w:hAnsi="Aptos"/>
                <w:b/>
                <w:color w:val="FFFFFF"/>
                <w:sz w:val="16"/>
              </w:rPr>
              <w:t>Output / handoff</w:t>
            </w:r>
          </w:p>
        </w:tc>
      </w:tr>
      <w:tr>
        <w:tc>
          <w:tcPr>
            <w:tcW w:type="dxa" w:w="1656"/>
            <w:vAlign w:val="center"/>
            <w:shd w:fill="F3F6FA"/>
          </w:tcPr>
          <w:p>
            <w:pPr>
              <w:spacing w:after="20"/>
            </w:pPr>
            <w:r/>
            <w:r>
              <w:rPr>
                <w:rFonts w:ascii="Aptos" w:hAnsi="Aptos"/>
                <w:b w:val="0"/>
                <w:color w:val="14243A"/>
                <w:sz w:val="16"/>
              </w:rPr>
              <w:t>1. Configure</w:t>
            </w:r>
          </w:p>
        </w:tc>
        <w:tc>
          <w:tcPr>
            <w:tcW w:type="dxa" w:w="4968"/>
            <w:vAlign w:val="center"/>
            <w:shd w:fill="F3F6FA"/>
          </w:tcPr>
          <w:p>
            <w:pPr>
              <w:spacing w:after="20"/>
            </w:pPr>
            <w:r/>
            <w:r>
              <w:rPr>
                <w:rFonts w:ascii="Aptos" w:hAnsi="Aptos"/>
                <w:b w:val="0"/>
                <w:color w:val="14243A"/>
                <w:sz w:val="16"/>
              </w:rPr>
              <w:t>Load validated universe, thresholds, allowed strategy families, and run budgets.</w:t>
            </w:r>
          </w:p>
        </w:tc>
        <w:tc>
          <w:tcPr>
            <w:tcW w:type="dxa" w:w="3744"/>
            <w:vAlign w:val="center"/>
            <w:shd w:fill="F3F6FA"/>
          </w:tcPr>
          <w:p>
            <w:pPr>
              <w:spacing w:after="20"/>
            </w:pPr>
            <w:r/>
            <w:r>
              <w:rPr>
                <w:rFonts w:ascii="Aptos" w:hAnsi="Aptos"/>
                <w:b w:val="0"/>
                <w:color w:val="14243A"/>
                <w:sz w:val="16"/>
              </w:rPr>
              <w:t>Versioned run configuration.</w:t>
            </w:r>
          </w:p>
        </w:tc>
      </w:tr>
      <w:tr>
        <w:tc>
          <w:tcPr>
            <w:tcW w:type="dxa" w:w="1656"/>
            <w:vAlign w:val="center"/>
            <w:shd w:fill="FFFFFF"/>
          </w:tcPr>
          <w:p>
            <w:pPr>
              <w:spacing w:after="20"/>
            </w:pPr>
            <w:r/>
            <w:r>
              <w:rPr>
                <w:rFonts w:ascii="Aptos" w:hAnsi="Aptos"/>
                <w:b w:val="0"/>
                <w:color w:val="14243A"/>
                <w:sz w:val="16"/>
              </w:rPr>
              <w:t>2. Observe</w:t>
            </w:r>
          </w:p>
        </w:tc>
        <w:tc>
          <w:tcPr>
            <w:tcW w:type="dxa" w:w="4968"/>
            <w:vAlign w:val="center"/>
            <w:shd w:fill="FFFFFF"/>
          </w:tcPr>
          <w:p>
            <w:pPr>
              <w:spacing w:after="20"/>
            </w:pPr>
            <w:r/>
            <w:r>
              <w:rPr>
                <w:rFonts w:ascii="Aptos" w:hAnsi="Aptos"/>
                <w:b w:val="0"/>
                <w:color w:val="14243A"/>
                <w:sz w:val="16"/>
              </w:rPr>
              <w:t>Read regime and retrieve underlying quotes, option chains, technicals, and catalysts when available.</w:t>
            </w:r>
          </w:p>
        </w:tc>
        <w:tc>
          <w:tcPr>
            <w:tcW w:type="dxa" w:w="3744"/>
            <w:vAlign w:val="center"/>
            <w:shd w:fill="FFFFFF"/>
          </w:tcPr>
          <w:p>
            <w:pPr>
              <w:spacing w:after="20"/>
            </w:pPr>
            <w:r/>
            <w:r>
              <w:rPr>
                <w:rFonts w:ascii="Aptos" w:hAnsi="Aptos"/>
                <w:b w:val="0"/>
                <w:color w:val="14243A"/>
                <w:sz w:val="16"/>
              </w:rPr>
              <w:t>Timestamped evidence with missing or stale fields marked.</w:t>
            </w:r>
          </w:p>
        </w:tc>
      </w:tr>
      <w:tr>
        <w:tc>
          <w:tcPr>
            <w:tcW w:type="dxa" w:w="1656"/>
            <w:vAlign w:val="center"/>
            <w:shd w:fill="F3F6FA"/>
          </w:tcPr>
          <w:p>
            <w:pPr>
              <w:spacing w:after="20"/>
            </w:pPr>
            <w:r/>
            <w:r>
              <w:rPr>
                <w:rFonts w:ascii="Aptos" w:hAnsi="Aptos"/>
                <w:b w:val="0"/>
                <w:color w:val="14243A"/>
                <w:sz w:val="16"/>
              </w:rPr>
              <w:t>3. Orient</w:t>
            </w:r>
          </w:p>
        </w:tc>
        <w:tc>
          <w:tcPr>
            <w:tcW w:type="dxa" w:w="4968"/>
            <w:vAlign w:val="center"/>
            <w:shd w:fill="F3F6FA"/>
          </w:tcPr>
          <w:p>
            <w:pPr>
              <w:spacing w:after="20"/>
            </w:pPr>
            <w:r/>
            <w:r>
              <w:rPr>
                <w:rFonts w:ascii="Aptos" w:hAnsi="Aptos"/>
                <w:b w:val="0"/>
                <w:color w:val="14243A"/>
                <w:sz w:val="16"/>
              </w:rPr>
              <w:t>Check data quality, market regime, trend, expectations, contradictory evidence, and thesis direction.</w:t>
            </w:r>
          </w:p>
        </w:tc>
        <w:tc>
          <w:tcPr>
            <w:tcW w:type="dxa" w:w="3744"/>
            <w:vAlign w:val="center"/>
            <w:shd w:fill="F3F6FA"/>
          </w:tcPr>
          <w:p>
            <w:pPr>
              <w:spacing w:after="20"/>
            </w:pPr>
            <w:r/>
            <w:r>
              <w:rPr>
                <w:rFonts w:ascii="Aptos" w:hAnsi="Aptos"/>
                <w:b w:val="0"/>
                <w:color w:val="14243A"/>
                <w:sz w:val="16"/>
              </w:rPr>
              <w:t>Candidate outlook or a reason to stop, watch, or reject.</w:t>
            </w:r>
          </w:p>
        </w:tc>
      </w:tr>
      <w:tr>
        <w:tc>
          <w:tcPr>
            <w:tcW w:type="dxa" w:w="1656"/>
            <w:vAlign w:val="center"/>
            <w:shd w:fill="FFFFFF"/>
          </w:tcPr>
          <w:p>
            <w:pPr>
              <w:spacing w:after="20"/>
            </w:pPr>
            <w:r/>
            <w:r>
              <w:rPr>
                <w:rFonts w:ascii="Aptos" w:hAnsi="Aptos"/>
                <w:b w:val="0"/>
                <w:color w:val="14243A"/>
                <w:sz w:val="16"/>
              </w:rPr>
              <w:t>4. Decide</w:t>
            </w:r>
          </w:p>
        </w:tc>
        <w:tc>
          <w:tcPr>
            <w:tcW w:type="dxa" w:w="4968"/>
            <w:vAlign w:val="center"/>
            <w:shd w:fill="FFFFFF"/>
          </w:tcPr>
          <w:p>
            <w:pPr>
              <w:spacing w:after="20"/>
            </w:pPr>
            <w:r/>
            <w:r>
              <w:rPr>
                <w:rFonts w:ascii="Aptos" w:hAnsi="Aptos"/>
                <w:b w:val="0"/>
                <w:color w:val="14243A"/>
                <w:sz w:val="16"/>
              </w:rPr>
              <w:t>Choose which symbols and structures merit deeper evaluation under the configured rules.</w:t>
            </w:r>
          </w:p>
        </w:tc>
        <w:tc>
          <w:tcPr>
            <w:tcW w:type="dxa" w:w="3744"/>
            <w:vAlign w:val="center"/>
            <w:shd w:fill="FFFFFF"/>
          </w:tcPr>
          <w:p>
            <w:pPr>
              <w:spacing w:after="20"/>
            </w:pPr>
            <w:r/>
            <w:r>
              <w:rPr>
                <w:rFonts w:ascii="Aptos" w:hAnsi="Aptos"/>
                <w:b w:val="0"/>
                <w:color w:val="14243A"/>
                <w:sz w:val="16"/>
              </w:rPr>
              <w:t>Bounded candidate set and strategy families.</w:t>
            </w:r>
          </w:p>
        </w:tc>
      </w:tr>
      <w:tr>
        <w:tc>
          <w:tcPr>
            <w:tcW w:type="dxa" w:w="1656"/>
            <w:vAlign w:val="center"/>
            <w:shd w:fill="F3F6FA"/>
          </w:tcPr>
          <w:p>
            <w:pPr>
              <w:spacing w:after="20"/>
            </w:pPr>
            <w:r/>
            <w:r>
              <w:rPr>
                <w:rFonts w:ascii="Aptos" w:hAnsi="Aptos"/>
                <w:b w:val="0"/>
                <w:color w:val="14243A"/>
                <w:sz w:val="16"/>
              </w:rPr>
              <w:t>5. Build and price</w:t>
            </w:r>
          </w:p>
        </w:tc>
        <w:tc>
          <w:tcPr>
            <w:tcW w:type="dxa" w:w="4968"/>
            <w:vAlign w:val="center"/>
            <w:shd w:fill="F3F6FA"/>
          </w:tcPr>
          <w:p>
            <w:pPr>
              <w:spacing w:after="20"/>
            </w:pPr>
            <w:r/>
            <w:r>
              <w:rPr>
                <w:rFonts w:ascii="Aptos" w:hAnsi="Aptos"/>
                <w:b w:val="0"/>
                <w:color w:val="14243A"/>
                <w:sz w:val="16"/>
              </w:rPr>
              <w:t>Select contracts, validate expirations/quotes/legs, calculate economics and scenarios.</w:t>
            </w:r>
          </w:p>
        </w:tc>
        <w:tc>
          <w:tcPr>
            <w:tcW w:type="dxa" w:w="3744"/>
            <w:vAlign w:val="center"/>
            <w:shd w:fill="F3F6FA"/>
          </w:tcPr>
          <w:p>
            <w:pPr>
              <w:spacing w:after="20"/>
            </w:pPr>
            <w:r/>
            <w:r>
              <w:rPr>
                <w:rFonts w:ascii="Aptos" w:hAnsi="Aptos"/>
                <w:b w:val="0"/>
                <w:color w:val="14243A"/>
                <w:sz w:val="16"/>
              </w:rPr>
              <w:t>Exact option legs, quote context, payoff metrics, and scenario table.</w:t>
            </w:r>
          </w:p>
        </w:tc>
      </w:tr>
      <w:tr>
        <w:tc>
          <w:tcPr>
            <w:tcW w:type="dxa" w:w="1656"/>
            <w:vAlign w:val="center"/>
            <w:shd w:fill="FFFFFF"/>
          </w:tcPr>
          <w:p>
            <w:pPr>
              <w:spacing w:after="20"/>
            </w:pPr>
            <w:r/>
            <w:r>
              <w:rPr>
                <w:rFonts w:ascii="Aptos" w:hAnsi="Aptos"/>
                <w:b w:val="0"/>
                <w:color w:val="14243A"/>
                <w:sz w:val="16"/>
              </w:rPr>
              <w:t>6. Challenge and gate</w:t>
            </w:r>
          </w:p>
        </w:tc>
        <w:tc>
          <w:tcPr>
            <w:tcW w:type="dxa" w:w="4968"/>
            <w:vAlign w:val="center"/>
            <w:shd w:fill="FFFFFF"/>
          </w:tcPr>
          <w:p>
            <w:pPr>
              <w:spacing w:after="20"/>
            </w:pPr>
            <w:r/>
            <w:r>
              <w:rPr>
                <w:rFonts w:ascii="Aptos" w:hAnsi="Aptos"/>
                <w:b w:val="0"/>
                <w:color w:val="14243A"/>
                <w:sz w:val="16"/>
              </w:rPr>
              <w:t>Run falsification, risk pre-mortem, independent payoff checks, and seven gates.</w:t>
            </w:r>
          </w:p>
        </w:tc>
        <w:tc>
          <w:tcPr>
            <w:tcW w:type="dxa" w:w="3744"/>
            <w:vAlign w:val="center"/>
            <w:shd w:fill="FFFFFF"/>
          </w:tcPr>
          <w:p>
            <w:pPr>
              <w:spacing w:after="20"/>
            </w:pPr>
            <w:r/>
            <w:r>
              <w:rPr>
                <w:rFonts w:ascii="Aptos" w:hAnsi="Aptos"/>
                <w:b w:val="0"/>
                <w:color w:val="14243A"/>
                <w:sz w:val="16"/>
              </w:rPr>
              <w:t>Qualified, watchlist, unverified, or rejected status with reasons.</w:t>
            </w:r>
          </w:p>
        </w:tc>
      </w:tr>
      <w:tr>
        <w:tc>
          <w:tcPr>
            <w:tcW w:type="dxa" w:w="1656"/>
            <w:vAlign w:val="center"/>
            <w:shd w:fill="F3F6FA"/>
          </w:tcPr>
          <w:p>
            <w:pPr>
              <w:spacing w:after="20"/>
            </w:pPr>
            <w:r/>
            <w:r>
              <w:rPr>
                <w:rFonts w:ascii="Aptos" w:hAnsi="Aptos"/>
                <w:b w:val="0"/>
                <w:color w:val="14243A"/>
                <w:sz w:val="16"/>
              </w:rPr>
              <w:t>7. Rank and report</w:t>
            </w:r>
          </w:p>
        </w:tc>
        <w:tc>
          <w:tcPr>
            <w:tcW w:type="dxa" w:w="4968"/>
            <w:vAlign w:val="center"/>
            <w:shd w:fill="F3F6FA"/>
          </w:tcPr>
          <w:p>
            <w:pPr>
              <w:spacing w:after="20"/>
            </w:pPr>
            <w:r/>
            <w:r>
              <w:rPr>
                <w:rFonts w:ascii="Aptos" w:hAnsi="Aptos"/>
                <w:b w:val="0"/>
                <w:color w:val="14243A"/>
                <w:sz w:val="16"/>
              </w:rPr>
              <w:t>Rank only eligible ideas, persist the run and report, then expose results to downstream search/delivery.</w:t>
            </w:r>
          </w:p>
        </w:tc>
        <w:tc>
          <w:tcPr>
            <w:tcW w:type="dxa" w:w="3744"/>
            <w:vAlign w:val="center"/>
            <w:shd w:fill="F3F6FA"/>
          </w:tcPr>
          <w:p>
            <w:pPr>
              <w:spacing w:after="20"/>
            </w:pPr>
            <w:r/>
            <w:r>
              <w:rPr>
                <w:rFonts w:ascii="Aptos" w:hAnsi="Aptos"/>
                <w:b w:val="0"/>
                <w:color w:val="14243A"/>
                <w:sz w:val="16"/>
              </w:rPr>
              <w:t>Reviewable research report; no order submission.</w:t>
            </w:r>
          </w:p>
        </w:tc>
      </w:tr>
      <w:tr>
        <w:tc>
          <w:tcPr>
            <w:tcW w:type="dxa" w:w="1656"/>
            <w:vAlign w:val="center"/>
            <w:shd w:fill="FFFFFF"/>
          </w:tcPr>
          <w:p>
            <w:pPr>
              <w:spacing w:after="20"/>
            </w:pPr>
            <w:r/>
            <w:r>
              <w:rPr>
                <w:rFonts w:ascii="Aptos" w:hAnsi="Aptos"/>
                <w:b w:val="0"/>
                <w:color w:val="14243A"/>
                <w:sz w:val="16"/>
              </w:rPr>
              <w:t>8. Evaluate later</w:t>
            </w:r>
          </w:p>
        </w:tc>
        <w:tc>
          <w:tcPr>
            <w:tcW w:type="dxa" w:w="4968"/>
            <w:vAlign w:val="center"/>
            <w:shd w:fill="FFFFFF"/>
          </w:tcPr>
          <w:p>
            <w:pPr>
              <w:spacing w:after="20"/>
            </w:pPr>
            <w:r/>
            <w:r>
              <w:rPr>
                <w:rFonts w:ascii="Aptos" w:hAnsi="Aptos"/>
                <w:b w:val="0"/>
                <w:color w:val="14243A"/>
                <w:sz w:val="16"/>
              </w:rPr>
              <w:t>When follow-up data is available, compare observed outcomes with the stored thesis and scenario.</w:t>
            </w:r>
          </w:p>
        </w:tc>
        <w:tc>
          <w:tcPr>
            <w:tcW w:type="dxa" w:w="3744"/>
            <w:vAlign w:val="center"/>
            <w:shd w:fill="FFFFFF"/>
          </w:tcPr>
          <w:p>
            <w:pPr>
              <w:spacing w:after="20"/>
            </w:pPr>
            <w:r/>
            <w:r>
              <w:rPr>
                <w:rFonts w:ascii="Aptos" w:hAnsi="Aptos"/>
                <w:b w:val="0"/>
                <w:color w:val="14243A"/>
                <w:sz w:val="16"/>
              </w:rPr>
              <w:t>Outcome evaluation linked to the original run and version.</w:t>
            </w:r>
          </w:p>
        </w:tc>
      </w:tr>
    </w:tbl>
    <w:p>
      <w:pPr>
        <w:spacing w:after="20"/>
      </w:pPr>
    </w:p>
    <w:p>
      <w:pPr>
        <w:pStyle w:val="Heading1"/>
      </w:pPr>
      <w:r>
        <w:t>1. GPS defines the research contract</w:t>
      </w:r>
    </w:p>
    <w:p>
      <w:pPr>
        <w:pStyle w:val="Heading2"/>
      </w:pPr>
      <w:r>
        <w:t>Goal</w:t>
      </w:r>
    </w:p>
    <w:p>
      <w:r>
        <w:t>Find a small set of liquid US equity or ETF options candidates where the thesis, expected move, horizon, implied-volatility pricing, liquidity, and risk fit together. A run may return fewer than the configured maximum or no qualified ideas. A zero-result report is valid; the pipeline must not manufacture a trade idea to fill a quota.</w:t>
      </w:r>
    </w:p>
    <w:p>
      <w:pPr>
        <w:pStyle w:val="Heading2"/>
      </w:pPr>
      <w:r>
        <w:t>Proof</w:t>
      </w:r>
    </w:p>
    <w:p>
      <w:pPr>
        <w:pStyle w:val="ListBullet"/>
        <w:spacing w:after="40"/>
      </w:pPr>
      <w:r>
        <w:t>Every material market input has a source and timestamp, and stale or absent evidence is surfaced.</w:t>
      </w:r>
    </w:p>
    <w:p>
      <w:pPr>
        <w:pStyle w:val="ListBullet"/>
        <w:spacing w:after="40"/>
      </w:pPr>
      <w:r>
        <w:t>Each proposed structure identifies the underlying, expiration, option right, strike, side, quantity, and quote or modeled-price status for every leg.</w:t>
      </w:r>
    </w:p>
    <w:p>
      <w:pPr>
        <w:pStyle w:val="ListBullet"/>
        <w:spacing w:after="40"/>
      </w:pPr>
      <w:r>
        <w:t>Payoff and scenario economics are recomputed independently and report assumptions such as commissions, slippage, and expiration treatment.</w:t>
      </w:r>
    </w:p>
    <w:p>
      <w:pPr>
        <w:pStyle w:val="ListBullet"/>
        <w:spacing w:after="40"/>
      </w:pPr>
      <w:r>
        <w:t>The report states both supporting and conflicting evidence, the thesis resolution horizon, and conditions that invalidate it.</w:t>
      </w:r>
    </w:p>
    <w:p>
      <w:pPr>
        <w:pStyle w:val="ListBullet"/>
        <w:spacing w:after="40"/>
      </w:pPr>
      <w:r>
        <w:t>Maximum contractual loss is stated separately from any stop-based estimate. Portfolio concentration remains unassessed when portfolio data is unavailable.</w:t>
      </w:r>
    </w:p>
    <w:p>
      <w:pPr>
        <w:pStyle w:val="ListBullet"/>
        <w:spacing w:after="40"/>
      </w:pPr>
      <w:r>
        <w:t>The run can be reproduced from its saved configuration, source timestamps, candidate decisions, and rules version.</w:t>
      </w:r>
    </w:p>
    <w:p>
      <w:pPr>
        <w:pStyle w:val="Heading2"/>
      </w:pPr>
      <w:r>
        <w:t>Steps</w:t>
      </w:r>
    </w:p>
    <w:p>
      <w:r>
        <w:t>Configure → read regime → retrieve a bounded universe → draft a thesis → retrieve suitable expirations and chains → validate quotes and legs → create candidate structures → calculate economics and scenarios → challenge the thesis → apply risk gates → rank and persist the report → evaluate outcomes later.</w:t>
      </w:r>
    </w:p>
    <w:p>
      <w:pPr>
        <w:pStyle w:val="Heading1"/>
      </w:pPr>
      <w:r>
        <w:t>2. ARR governs autonomy and recurrence</w:t>
      </w:r>
    </w:p>
    <w:tbl>
      <w:tblPr>
        <w:tblStyle w:val="TableGrid"/>
        <w:tblW w:type="auto" w:w="0"/>
        <w:jc w:val="center"/>
        <w:tblLayout w:type="fixed"/>
        <w:tblLook w:firstColumn="1" w:firstRow="1" w:lastColumn="0" w:lastRow="0" w:noHBand="0" w:noVBand="1" w:val="04A0"/>
      </w:tblPr>
      <w:tblGrid>
        <w:gridCol w:w="3351"/>
        <w:gridCol w:w="3351"/>
        <w:gridCol w:w="3351"/>
      </w:tblGrid>
      <w:tr>
        <w:tc>
          <w:tcPr>
            <w:tcW w:type="dxa" w:w="1512"/>
            <w:vAlign w:val="center"/>
            <w:shd w:fill="14243A"/>
          </w:tcPr>
          <w:p>
            <w:pPr>
              <w:spacing w:after="20"/>
            </w:pPr>
            <w:r/>
            <w:r>
              <w:rPr>
                <w:rFonts w:ascii="Aptos" w:hAnsi="Aptos"/>
                <w:b/>
                <w:color w:val="FFFFFF"/>
                <w:sz w:val="16"/>
              </w:rPr>
              <w:t>ARR element</w:t>
            </w:r>
          </w:p>
        </w:tc>
        <w:tc>
          <w:tcPr>
            <w:tcW w:type="dxa" w:w="5400"/>
            <w:vAlign w:val="center"/>
            <w:shd w:fill="14243A"/>
          </w:tcPr>
          <w:p>
            <w:pPr>
              <w:spacing w:after="20"/>
            </w:pPr>
            <w:r/>
            <w:r>
              <w:rPr>
                <w:rFonts w:ascii="Aptos" w:hAnsi="Aptos"/>
                <w:b/>
                <w:color w:val="FFFFFF"/>
                <w:sz w:val="16"/>
              </w:rPr>
              <w:t>Pipeline behavior</w:t>
            </w:r>
          </w:p>
        </w:tc>
        <w:tc>
          <w:tcPr>
            <w:tcW w:type="dxa" w:w="3456"/>
            <w:vAlign w:val="center"/>
            <w:shd w:fill="14243A"/>
          </w:tcPr>
          <w:p>
            <w:pPr>
              <w:spacing w:after="20"/>
            </w:pPr>
            <w:r/>
            <w:r>
              <w:rPr>
                <w:rFonts w:ascii="Aptos" w:hAnsi="Aptos"/>
                <w:b/>
                <w:color w:val="FFFFFF"/>
                <w:sz w:val="16"/>
              </w:rPr>
              <w:t>Boundary</w:t>
            </w:r>
          </w:p>
        </w:tc>
      </w:tr>
      <w:tr>
        <w:tc>
          <w:tcPr>
            <w:tcW w:type="dxa" w:w="1512"/>
            <w:vAlign w:val="center"/>
            <w:shd w:fill="F3F6FA"/>
          </w:tcPr>
          <w:p>
            <w:pPr>
              <w:spacing w:after="20"/>
            </w:pPr>
            <w:r/>
            <w:r>
              <w:rPr>
                <w:rFonts w:ascii="Aptos" w:hAnsi="Aptos"/>
                <w:b w:val="0"/>
                <w:color w:val="14243A"/>
                <w:sz w:val="16"/>
              </w:rPr>
              <w:t>Autonomous</w:t>
            </w:r>
          </w:p>
        </w:tc>
        <w:tc>
          <w:tcPr>
            <w:tcW w:type="dxa" w:w="5400"/>
            <w:vAlign w:val="center"/>
            <w:shd w:fill="F3F6FA"/>
          </w:tcPr>
          <w:p>
            <w:pPr>
              <w:spacing w:after="20"/>
            </w:pPr>
            <w:r/>
            <w:r>
              <w:rPr>
                <w:rFonts w:ascii="Aptos" w:hAnsi="Aptos"/>
                <w:b w:val="0"/>
                <w:color w:val="14243A"/>
                <w:sz w:val="16"/>
              </w:rPr>
              <w:t>The scheduled or manually triggered run can load configuration, retrieve available evidence, screen names, construct candidate structures, calculate risk, apply gates, and save its report.</w:t>
            </w:r>
          </w:p>
        </w:tc>
        <w:tc>
          <w:tcPr>
            <w:tcW w:type="dxa" w:w="3456"/>
            <w:vAlign w:val="center"/>
            <w:shd w:fill="F3F6FA"/>
          </w:tcPr>
          <w:p>
            <w:pPr>
              <w:spacing w:after="20"/>
            </w:pPr>
            <w:r/>
            <w:r>
              <w:rPr>
                <w:rFonts w:ascii="Aptos" w:hAnsi="Aptos"/>
                <w:b w:val="0"/>
                <w:color w:val="14243A"/>
                <w:sz w:val="16"/>
              </w:rPr>
              <w:t>Autonomy covers research. It does not place, preview, amend, or cancel orders.</w:t>
            </w:r>
          </w:p>
        </w:tc>
      </w:tr>
      <w:tr>
        <w:tc>
          <w:tcPr>
            <w:tcW w:type="dxa" w:w="1512"/>
            <w:vAlign w:val="center"/>
            <w:shd w:fill="FFFFFF"/>
          </w:tcPr>
          <w:p>
            <w:pPr>
              <w:spacing w:after="20"/>
            </w:pPr>
            <w:r/>
            <w:r>
              <w:rPr>
                <w:rFonts w:ascii="Aptos" w:hAnsi="Aptos"/>
                <w:b w:val="0"/>
                <w:color w:val="14243A"/>
                <w:sz w:val="16"/>
              </w:rPr>
              <w:t>Recurring</w:t>
            </w:r>
          </w:p>
        </w:tc>
        <w:tc>
          <w:tcPr>
            <w:tcW w:type="dxa" w:w="5400"/>
            <w:vAlign w:val="center"/>
            <w:shd w:fill="FFFFFF"/>
          </w:tcPr>
          <w:p>
            <w:pPr>
              <w:spacing w:after="20"/>
            </w:pPr>
            <w:r/>
            <w:r>
              <w:rPr>
                <w:rFonts w:ascii="Aptos" w:hAnsi="Aptos"/>
                <w:b w:val="0"/>
                <w:color w:val="14243A"/>
                <w:sz w:val="16"/>
              </w:rPr>
              <w:t>The scheduler runs on weekdays after the close, with a once-per-day guard; manual runs use the same pipeline. Later evaluations attach subsequent observations to a prior run.</w:t>
            </w:r>
          </w:p>
        </w:tc>
        <w:tc>
          <w:tcPr>
            <w:tcW w:type="dxa" w:w="3456"/>
            <w:vAlign w:val="center"/>
            <w:shd w:fill="FFFFFF"/>
          </w:tcPr>
          <w:p>
            <w:pPr>
              <w:spacing w:after="20"/>
            </w:pPr>
            <w:r/>
            <w:r>
              <w:rPr>
                <w:rFonts w:ascii="Aptos" w:hAnsi="Aptos"/>
                <w:b w:val="0"/>
                <w:color w:val="14243A"/>
                <w:sz w:val="16"/>
              </w:rPr>
              <w:t>A recurrence is an analysis cadence, not an instruction to trade or republish externally.</w:t>
            </w:r>
          </w:p>
        </w:tc>
      </w:tr>
      <w:tr>
        <w:tc>
          <w:tcPr>
            <w:tcW w:type="dxa" w:w="1512"/>
            <w:vAlign w:val="center"/>
            <w:shd w:fill="F3F6FA"/>
          </w:tcPr>
          <w:p>
            <w:pPr>
              <w:spacing w:after="20"/>
            </w:pPr>
            <w:r/>
            <w:r>
              <w:rPr>
                <w:rFonts w:ascii="Aptos" w:hAnsi="Aptos"/>
                <w:b w:val="0"/>
                <w:color w:val="14243A"/>
                <w:sz w:val="16"/>
              </w:rPr>
              <w:t>Reviewable</w:t>
            </w:r>
          </w:p>
        </w:tc>
        <w:tc>
          <w:tcPr>
            <w:tcW w:type="dxa" w:w="5400"/>
            <w:vAlign w:val="center"/>
            <w:shd w:fill="F3F6FA"/>
          </w:tcPr>
          <w:p>
            <w:pPr>
              <w:spacing w:after="20"/>
            </w:pPr>
            <w:r/>
            <w:r>
              <w:rPr>
                <w:rFonts w:ascii="Aptos" w:hAnsi="Aptos"/>
                <w:b w:val="0"/>
                <w:color w:val="14243A"/>
                <w:sz w:val="16"/>
              </w:rPr>
              <w:t>Configuration, run identifier, timestamps, strategy legs, calculations, gate decisions, status reasons, report, and versioned evaluation are persisted.</w:t>
            </w:r>
          </w:p>
        </w:tc>
        <w:tc>
          <w:tcPr>
            <w:tcW w:type="dxa" w:w="3456"/>
            <w:vAlign w:val="center"/>
            <w:shd w:fill="F3F6FA"/>
          </w:tcPr>
          <w:p>
            <w:pPr>
              <w:spacing w:after="20"/>
            </w:pPr>
            <w:r/>
            <w:r>
              <w:rPr>
                <w:rFonts w:ascii="Aptos" w:hAnsi="Aptos"/>
                <w:b w:val="0"/>
                <w:color w:val="14243A"/>
                <w:sz w:val="16"/>
              </w:rPr>
              <w:t>Email is disabled by default; external delivery requires its configured authorization and remains separate from research generation.</w:t>
            </w:r>
          </w:p>
        </w:tc>
      </w:tr>
    </w:tbl>
    <w:p>
      <w:pPr>
        <w:spacing w:after="20"/>
      </w:pPr>
    </w:p>
    <w:p>
      <w:r>
        <w:t>When the pipeline cannot verify a required input, it should refresh when useful, mark the affected candidate unverified or watchlist-only, or reject it with a reason. It must not silently substitute a model-calibrated chain for a live broker quote and call the result qualified.</w:t>
      </w:r>
    </w:p>
    <w:p>
      <w:pPr>
        <w:pStyle w:val="Heading1"/>
      </w:pPr>
      <w:r>
        <w:t>3. OODA is the candidate-level control loop</w:t>
      </w:r>
    </w:p>
    <w:tbl>
      <w:tblPr>
        <w:tblStyle w:val="TableGrid"/>
        <w:tblW w:type="auto" w:w="0"/>
        <w:jc w:val="center"/>
        <w:tblLayout w:type="fixed"/>
        <w:tblLook w:firstColumn="1" w:firstRow="1" w:lastColumn="0" w:lastRow="0" w:noHBand="0" w:noVBand="1" w:val="04A0"/>
      </w:tblPr>
      <w:tblGrid>
        <w:gridCol w:w="3351"/>
        <w:gridCol w:w="3351"/>
        <w:gridCol w:w="3351"/>
      </w:tblGrid>
      <w:tr>
        <w:tc>
          <w:tcPr>
            <w:tcW w:type="dxa" w:w="1440"/>
            <w:vAlign w:val="center"/>
            <w:shd w:fill="14243A"/>
          </w:tcPr>
          <w:p>
            <w:pPr>
              <w:spacing w:after="20"/>
            </w:pPr>
            <w:r/>
            <w:r>
              <w:rPr>
                <w:rFonts w:ascii="Aptos" w:hAnsi="Aptos"/>
                <w:b/>
                <w:color w:val="FFFFFF"/>
                <w:sz w:val="16"/>
              </w:rPr>
              <w:t>Loop step</w:t>
            </w:r>
          </w:p>
        </w:tc>
        <w:tc>
          <w:tcPr>
            <w:tcW w:type="dxa" w:w="4320"/>
            <w:vAlign w:val="center"/>
            <w:shd w:fill="14243A"/>
          </w:tcPr>
          <w:p>
            <w:pPr>
              <w:spacing w:after="20"/>
            </w:pPr>
            <w:r/>
            <w:r>
              <w:rPr>
                <w:rFonts w:ascii="Aptos" w:hAnsi="Aptos"/>
                <w:b/>
                <w:color w:val="FFFFFF"/>
                <w:sz w:val="16"/>
              </w:rPr>
              <w:t>Research action</w:t>
            </w:r>
          </w:p>
        </w:tc>
        <w:tc>
          <w:tcPr>
            <w:tcW w:type="dxa" w:w="4608"/>
            <w:vAlign w:val="center"/>
            <w:shd w:fill="14243A"/>
          </w:tcPr>
          <w:p>
            <w:pPr>
              <w:spacing w:after="20"/>
            </w:pPr>
            <w:r/>
            <w:r>
              <w:rPr>
                <w:rFonts w:ascii="Aptos" w:hAnsi="Aptos"/>
                <w:b/>
                <w:color w:val="FFFFFF"/>
                <w:sz w:val="16"/>
              </w:rPr>
              <w:t>Example</w:t>
            </w:r>
          </w:p>
        </w:tc>
      </w:tr>
      <w:tr>
        <w:tc>
          <w:tcPr>
            <w:tcW w:type="dxa" w:w="1440"/>
            <w:vAlign w:val="center"/>
            <w:shd w:fill="F3F6FA"/>
          </w:tcPr>
          <w:p>
            <w:pPr>
              <w:spacing w:after="20"/>
            </w:pPr>
            <w:r/>
            <w:r>
              <w:rPr>
                <w:rFonts w:ascii="Aptos" w:hAnsi="Aptos"/>
                <w:b w:val="0"/>
                <w:color w:val="14243A"/>
                <w:sz w:val="16"/>
              </w:rPr>
              <w:t>Observe</w:t>
            </w:r>
          </w:p>
        </w:tc>
        <w:tc>
          <w:tcPr>
            <w:tcW w:type="dxa" w:w="4320"/>
            <w:vAlign w:val="center"/>
            <w:shd w:fill="F3F6FA"/>
          </w:tcPr>
          <w:p>
            <w:pPr>
              <w:spacing w:after="20"/>
            </w:pPr>
            <w:r/>
            <w:r>
              <w:rPr>
                <w:rFonts w:ascii="Aptos" w:hAnsi="Aptos"/>
                <w:b w:val="0"/>
                <w:color w:val="14243A"/>
                <w:sz w:val="16"/>
              </w:rPr>
              <w:t>Collect the current evidence relevant to the next decision.</w:t>
            </w:r>
          </w:p>
        </w:tc>
        <w:tc>
          <w:tcPr>
            <w:tcW w:type="dxa" w:w="4608"/>
            <w:vAlign w:val="center"/>
            <w:shd w:fill="F3F6FA"/>
          </w:tcPr>
          <w:p>
            <w:pPr>
              <w:spacing w:after="20"/>
            </w:pPr>
            <w:r/>
            <w:r>
              <w:rPr>
                <w:rFonts w:ascii="Aptos" w:hAnsi="Aptos"/>
                <w:b w:val="0"/>
                <w:color w:val="14243A"/>
                <w:sz w:val="16"/>
              </w:rPr>
              <w:t>Fetch an underlying quote, technical indicators, option chain, and available catalyst data.</w:t>
            </w:r>
          </w:p>
        </w:tc>
      </w:tr>
      <w:tr>
        <w:tc>
          <w:tcPr>
            <w:tcW w:type="dxa" w:w="1440"/>
            <w:vAlign w:val="center"/>
            <w:shd w:fill="FFFFFF"/>
          </w:tcPr>
          <w:p>
            <w:pPr>
              <w:spacing w:after="20"/>
            </w:pPr>
            <w:r/>
            <w:r>
              <w:rPr>
                <w:rFonts w:ascii="Aptos" w:hAnsi="Aptos"/>
                <w:b w:val="0"/>
                <w:color w:val="14243A"/>
                <w:sz w:val="16"/>
              </w:rPr>
              <w:t>Orient</w:t>
            </w:r>
          </w:p>
        </w:tc>
        <w:tc>
          <w:tcPr>
            <w:tcW w:type="dxa" w:w="4320"/>
            <w:vAlign w:val="center"/>
            <w:shd w:fill="FFFFFF"/>
          </w:tcPr>
          <w:p>
            <w:pPr>
              <w:spacing w:after="20"/>
            </w:pPr>
            <w:r/>
            <w:r>
              <w:rPr>
                <w:rFonts w:ascii="Aptos" w:hAnsi="Aptos"/>
                <w:b w:val="0"/>
                <w:color w:val="14243A"/>
                <w:sz w:val="16"/>
              </w:rPr>
              <w:t>Assess source quality, freshness, regime, thesis, expected move, and contradictions.</w:t>
            </w:r>
          </w:p>
        </w:tc>
        <w:tc>
          <w:tcPr>
            <w:tcW w:type="dxa" w:w="4608"/>
            <w:vAlign w:val="center"/>
            <w:shd w:fill="FFFFFF"/>
          </w:tcPr>
          <w:p>
            <w:pPr>
              <w:spacing w:after="20"/>
            </w:pPr>
            <w:r/>
            <w:r>
              <w:rPr>
                <w:rFonts w:ascii="Aptos" w:hAnsi="Aptos"/>
                <w:b w:val="0"/>
                <w:color w:val="14243A"/>
                <w:sz w:val="16"/>
              </w:rPr>
              <w:t>An attractive bullish trend is offset by an unavailable catalyst feed and a wide option market.</w:t>
            </w:r>
          </w:p>
        </w:tc>
      </w:tr>
      <w:tr>
        <w:tc>
          <w:tcPr>
            <w:tcW w:type="dxa" w:w="1440"/>
            <w:vAlign w:val="center"/>
            <w:shd w:fill="F3F6FA"/>
          </w:tcPr>
          <w:p>
            <w:pPr>
              <w:spacing w:after="20"/>
            </w:pPr>
            <w:r/>
            <w:r>
              <w:rPr>
                <w:rFonts w:ascii="Aptos" w:hAnsi="Aptos"/>
                <w:b w:val="0"/>
                <w:color w:val="14243A"/>
                <w:sz w:val="16"/>
              </w:rPr>
              <w:t>Decide</w:t>
            </w:r>
          </w:p>
        </w:tc>
        <w:tc>
          <w:tcPr>
            <w:tcW w:type="dxa" w:w="4320"/>
            <w:vAlign w:val="center"/>
            <w:shd w:fill="F3F6FA"/>
          </w:tcPr>
          <w:p>
            <w:pPr>
              <w:spacing w:after="20"/>
            </w:pPr>
            <w:r/>
            <w:r>
              <w:rPr>
                <w:rFonts w:ascii="Aptos" w:hAnsi="Aptos"/>
                <w:b w:val="0"/>
                <w:color w:val="14243A"/>
                <w:sz w:val="16"/>
              </w:rPr>
              <w:t>Select an explicit next action: investigate, build, reject, watch, refresh, or stop.</w:t>
            </w:r>
          </w:p>
        </w:tc>
        <w:tc>
          <w:tcPr>
            <w:tcW w:type="dxa" w:w="4608"/>
            <w:vAlign w:val="center"/>
            <w:shd w:fill="F3F6FA"/>
          </w:tcPr>
          <w:p>
            <w:pPr>
              <w:spacing w:after="20"/>
            </w:pPr>
            <w:r/>
            <w:r>
              <w:rPr>
                <w:rFonts w:ascii="Aptos" w:hAnsi="Aptos"/>
                <w:b w:val="0"/>
                <w:color w:val="14243A"/>
                <w:sz w:val="16"/>
              </w:rPr>
              <w:t>Use a defined-risk vertical; keep the name on a watchlist if quote quality fails.</w:t>
            </w:r>
          </w:p>
        </w:tc>
      </w:tr>
      <w:tr>
        <w:tc>
          <w:tcPr>
            <w:tcW w:type="dxa" w:w="1440"/>
            <w:vAlign w:val="center"/>
            <w:shd w:fill="FFFFFF"/>
          </w:tcPr>
          <w:p>
            <w:pPr>
              <w:spacing w:after="20"/>
            </w:pPr>
            <w:r/>
            <w:r>
              <w:rPr>
                <w:rFonts w:ascii="Aptos" w:hAnsi="Aptos"/>
                <w:b w:val="0"/>
                <w:color w:val="14243A"/>
                <w:sz w:val="16"/>
              </w:rPr>
              <w:t>Act</w:t>
            </w:r>
          </w:p>
        </w:tc>
        <w:tc>
          <w:tcPr>
            <w:tcW w:type="dxa" w:w="4320"/>
            <w:vAlign w:val="center"/>
            <w:shd w:fill="FFFFFF"/>
          </w:tcPr>
          <w:p>
            <w:pPr>
              <w:spacing w:after="20"/>
            </w:pPr>
            <w:r/>
            <w:r>
              <w:rPr>
                <w:rFonts w:ascii="Aptos" w:hAnsi="Aptos"/>
                <w:b w:val="0"/>
                <w:color w:val="14243A"/>
                <w:sz w:val="16"/>
              </w:rPr>
              <w:t>Perform only the selected research action and record its evidence and result.</w:t>
            </w:r>
          </w:p>
        </w:tc>
        <w:tc>
          <w:tcPr>
            <w:tcW w:type="dxa" w:w="4608"/>
            <w:vAlign w:val="center"/>
            <w:shd w:fill="FFFFFF"/>
          </w:tcPr>
          <w:p>
            <w:pPr>
              <w:spacing w:after="20"/>
            </w:pPr>
            <w:r/>
            <w:r>
              <w:rPr>
                <w:rFonts w:ascii="Aptos" w:hAnsi="Aptos"/>
                <w:b w:val="0"/>
                <w:color w:val="14243A"/>
                <w:sz w:val="16"/>
              </w:rPr>
              <w:t>Calculate the spread payoff, run gates, and persist the status and reason.</w:t>
            </w:r>
          </w:p>
        </w:tc>
      </w:tr>
    </w:tbl>
    <w:p>
      <w:pPr>
        <w:spacing w:after="20"/>
      </w:pPr>
    </w:p>
    <w:p>
      <w:r>
        <w:t>The loop is bounded by candidate, chain, iteration, runtime, and tool budgets. It stops when the next step has no clear research purpose or when its budget is exhausted. OODA actions update research state only; “Act” never means placing a broker order.</w:t>
      </w:r>
    </w:p>
    <w:p>
      <w:r>
        <w:br w:type="page"/>
      </w:r>
    </w:p>
    <w:p>
      <w:pPr>
        <w:pStyle w:val="Heading1"/>
      </w:pPr>
      <w:r>
        <w:t>4. Seven gates determine idea status</w:t>
      </w:r>
    </w:p>
    <w:p>
      <w:r>
        <w:t>Each idea passes through explicit gates. A failed gate carries its action and reason into the report. Gate results determine whether an idea is qualified, watchlist-only, unverified, or rejected.</w:t>
      </w:r>
    </w:p>
    <w:tbl>
      <w:tblPr>
        <w:tblStyle w:val="TableGrid"/>
        <w:tblW w:type="auto" w:w="0"/>
        <w:jc w:val="center"/>
        <w:tblLayout w:type="fixed"/>
        <w:tblLook w:firstColumn="1" w:firstRow="1" w:lastColumn="0" w:lastRow="0" w:noHBand="0" w:noVBand="1" w:val="04A0"/>
      </w:tblPr>
      <w:tblGrid>
        <w:gridCol w:w="3351"/>
        <w:gridCol w:w="3351"/>
        <w:gridCol w:w="3351"/>
      </w:tblGrid>
      <w:tr>
        <w:tc>
          <w:tcPr>
            <w:tcW w:type="dxa" w:w="1656"/>
            <w:vAlign w:val="center"/>
            <w:shd w:fill="14243A"/>
          </w:tcPr>
          <w:p>
            <w:pPr>
              <w:spacing w:after="20"/>
            </w:pPr>
            <w:r/>
            <w:r>
              <w:rPr>
                <w:rFonts w:ascii="Aptos" w:hAnsi="Aptos"/>
                <w:b/>
                <w:color w:val="FFFFFF"/>
                <w:sz w:val="16"/>
              </w:rPr>
              <w:t>Gate</w:t>
            </w:r>
          </w:p>
        </w:tc>
        <w:tc>
          <w:tcPr>
            <w:tcW w:type="dxa" w:w="5112"/>
            <w:vAlign w:val="center"/>
            <w:shd w:fill="14243A"/>
          </w:tcPr>
          <w:p>
            <w:pPr>
              <w:spacing w:after="20"/>
            </w:pPr>
            <w:r/>
            <w:r>
              <w:rPr>
                <w:rFonts w:ascii="Aptos" w:hAnsi="Aptos"/>
                <w:b/>
                <w:color w:val="FFFFFF"/>
                <w:sz w:val="16"/>
              </w:rPr>
              <w:t>What it checks</w:t>
            </w:r>
          </w:p>
        </w:tc>
        <w:tc>
          <w:tcPr>
            <w:tcW w:type="dxa" w:w="3600"/>
            <w:vAlign w:val="center"/>
            <w:shd w:fill="14243A"/>
          </w:tcPr>
          <w:p>
            <w:pPr>
              <w:spacing w:after="20"/>
            </w:pPr>
            <w:r/>
            <w:r>
              <w:rPr>
                <w:rFonts w:ascii="Aptos" w:hAnsi="Aptos"/>
                <w:b/>
                <w:color w:val="FFFFFF"/>
                <w:sz w:val="16"/>
              </w:rPr>
              <w:t>Typical consequence</w:t>
            </w:r>
          </w:p>
        </w:tc>
      </w:tr>
      <w:tr>
        <w:tc>
          <w:tcPr>
            <w:tcW w:type="dxa" w:w="1656"/>
            <w:vAlign w:val="center"/>
            <w:shd w:fill="F3F6FA"/>
          </w:tcPr>
          <w:p>
            <w:pPr>
              <w:spacing w:after="20"/>
            </w:pPr>
            <w:r/>
            <w:r>
              <w:rPr>
                <w:rFonts w:ascii="Aptos" w:hAnsi="Aptos"/>
                <w:b w:val="0"/>
                <w:color w:val="14243A"/>
                <w:sz w:val="16"/>
              </w:rPr>
              <w:t>1. Data integrity</w:t>
            </w:r>
          </w:p>
        </w:tc>
        <w:tc>
          <w:tcPr>
            <w:tcW w:type="dxa" w:w="5112"/>
            <w:vAlign w:val="center"/>
            <w:shd w:fill="F3F6FA"/>
          </w:tcPr>
          <w:p>
            <w:pPr>
              <w:spacing w:after="20"/>
            </w:pPr>
            <w:r/>
            <w:r>
              <w:rPr>
                <w:rFonts w:ascii="Aptos" w:hAnsi="Aptos"/>
                <w:b w:val="0"/>
                <w:color w:val="14243A"/>
                <w:sz w:val="16"/>
              </w:rPr>
              <w:t>Required underlying and chain fields exist and meet freshness/consistency checks.</w:t>
            </w:r>
          </w:p>
        </w:tc>
        <w:tc>
          <w:tcPr>
            <w:tcW w:type="dxa" w:w="3600"/>
            <w:vAlign w:val="center"/>
            <w:shd w:fill="F3F6FA"/>
          </w:tcPr>
          <w:p>
            <w:pPr>
              <w:spacing w:after="20"/>
            </w:pPr>
            <w:r/>
            <w:r>
              <w:rPr>
                <w:rFonts w:ascii="Aptos" w:hAnsi="Aptos"/>
                <w:b w:val="0"/>
                <w:color w:val="14243A"/>
                <w:sz w:val="16"/>
              </w:rPr>
              <w:t>Refresh, mark unverified, or reject.</w:t>
            </w:r>
          </w:p>
        </w:tc>
      </w:tr>
      <w:tr>
        <w:tc>
          <w:tcPr>
            <w:tcW w:type="dxa" w:w="1656"/>
            <w:vAlign w:val="center"/>
            <w:shd w:fill="FFFFFF"/>
          </w:tcPr>
          <w:p>
            <w:pPr>
              <w:spacing w:after="20"/>
            </w:pPr>
            <w:r/>
            <w:r>
              <w:rPr>
                <w:rFonts w:ascii="Aptos" w:hAnsi="Aptos"/>
                <w:b w:val="0"/>
                <w:color w:val="14243A"/>
                <w:sz w:val="16"/>
              </w:rPr>
              <w:t>2. Contract integrity</w:t>
            </w:r>
          </w:p>
        </w:tc>
        <w:tc>
          <w:tcPr>
            <w:tcW w:type="dxa" w:w="5112"/>
            <w:vAlign w:val="center"/>
            <w:shd w:fill="FFFFFF"/>
          </w:tcPr>
          <w:p>
            <w:pPr>
              <w:spacing w:after="20"/>
            </w:pPr>
            <w:r/>
            <w:r>
              <w:rPr>
                <w:rFonts w:ascii="Aptos" w:hAnsi="Aptos"/>
                <w:b w:val="0"/>
                <w:color w:val="14243A"/>
                <w:sz w:val="16"/>
              </w:rPr>
              <w:t>Expiration, strike, option type, deliverable, and leg relationships are valid.</w:t>
            </w:r>
          </w:p>
        </w:tc>
        <w:tc>
          <w:tcPr>
            <w:tcW w:type="dxa" w:w="3600"/>
            <w:vAlign w:val="center"/>
            <w:shd w:fill="FFFFFF"/>
          </w:tcPr>
          <w:p>
            <w:pPr>
              <w:spacing w:after="20"/>
            </w:pPr>
            <w:r/>
            <w:r>
              <w:rPr>
                <w:rFonts w:ascii="Aptos" w:hAnsi="Aptos"/>
                <w:b w:val="0"/>
                <w:color w:val="14243A"/>
                <w:sz w:val="16"/>
              </w:rPr>
              <w:t>Reject malformed or mismatched contracts.</w:t>
            </w:r>
          </w:p>
        </w:tc>
      </w:tr>
      <w:tr>
        <w:tc>
          <w:tcPr>
            <w:tcW w:type="dxa" w:w="1656"/>
            <w:vAlign w:val="center"/>
            <w:shd w:fill="F3F6FA"/>
          </w:tcPr>
          <w:p>
            <w:pPr>
              <w:spacing w:after="20"/>
            </w:pPr>
            <w:r/>
            <w:r>
              <w:rPr>
                <w:rFonts w:ascii="Aptos" w:hAnsi="Aptos"/>
                <w:b w:val="0"/>
                <w:color w:val="14243A"/>
                <w:sz w:val="16"/>
              </w:rPr>
              <w:t>3. Quote quality</w:t>
            </w:r>
          </w:p>
        </w:tc>
        <w:tc>
          <w:tcPr>
            <w:tcW w:type="dxa" w:w="5112"/>
            <w:vAlign w:val="center"/>
            <w:shd w:fill="F3F6FA"/>
          </w:tcPr>
          <w:p>
            <w:pPr>
              <w:spacing w:after="20"/>
            </w:pPr>
            <w:r/>
            <w:r>
              <w:rPr>
                <w:rFonts w:ascii="Aptos" w:hAnsi="Aptos"/>
                <w:b w:val="0"/>
                <w:color w:val="14243A"/>
                <w:sz w:val="16"/>
              </w:rPr>
              <w:t>Quote age, spread, volume, and open interest meet configured thresholds; source type is explicit.</w:t>
            </w:r>
          </w:p>
        </w:tc>
        <w:tc>
          <w:tcPr>
            <w:tcW w:type="dxa" w:w="3600"/>
            <w:vAlign w:val="center"/>
            <w:shd w:fill="F3F6FA"/>
          </w:tcPr>
          <w:p>
            <w:pPr>
              <w:spacing w:after="20"/>
            </w:pPr>
            <w:r/>
            <w:r>
              <w:rPr>
                <w:rFonts w:ascii="Aptos" w:hAnsi="Aptos"/>
                <w:b w:val="0"/>
                <w:color w:val="14243A"/>
                <w:sz w:val="16"/>
              </w:rPr>
              <w:t>Poor or modeled-only quotes are watchlist-only or rejected.</w:t>
            </w:r>
          </w:p>
        </w:tc>
      </w:tr>
      <w:tr>
        <w:tc>
          <w:tcPr>
            <w:tcW w:type="dxa" w:w="1656"/>
            <w:vAlign w:val="center"/>
            <w:shd w:fill="FFFFFF"/>
          </w:tcPr>
          <w:p>
            <w:pPr>
              <w:spacing w:after="20"/>
            </w:pPr>
            <w:r/>
            <w:r>
              <w:rPr>
                <w:rFonts w:ascii="Aptos" w:hAnsi="Aptos"/>
                <w:b w:val="0"/>
                <w:color w:val="14243A"/>
                <w:sz w:val="16"/>
              </w:rPr>
              <w:t>4. Thesis coherence</w:t>
            </w:r>
          </w:p>
        </w:tc>
        <w:tc>
          <w:tcPr>
            <w:tcW w:type="dxa" w:w="5112"/>
            <w:vAlign w:val="center"/>
            <w:shd w:fill="FFFFFF"/>
          </w:tcPr>
          <w:p>
            <w:pPr>
              <w:spacing w:after="20"/>
            </w:pPr>
            <w:r/>
            <w:r>
              <w:rPr>
                <w:rFonts w:ascii="Aptos" w:hAnsi="Aptos"/>
                <w:b w:val="0"/>
                <w:color w:val="14243A"/>
                <w:sz w:val="16"/>
              </w:rPr>
              <w:t>Outlook, expected move, timing, regime, catalyst context, and structure are directionally consistent.</w:t>
            </w:r>
          </w:p>
        </w:tc>
        <w:tc>
          <w:tcPr>
            <w:tcW w:type="dxa" w:w="3600"/>
            <w:vAlign w:val="center"/>
            <w:shd w:fill="FFFFFF"/>
          </w:tcPr>
          <w:p>
            <w:pPr>
              <w:spacing w:after="20"/>
            </w:pPr>
            <w:r/>
            <w:r>
              <w:rPr>
                <w:rFonts w:ascii="Aptos" w:hAnsi="Aptos"/>
                <w:b w:val="0"/>
                <w:color w:val="14243A"/>
                <w:sz w:val="16"/>
              </w:rPr>
              <w:t>Reject or keep as watchlist when the thesis is unsupported.</w:t>
            </w:r>
          </w:p>
        </w:tc>
      </w:tr>
      <w:tr>
        <w:tc>
          <w:tcPr>
            <w:tcW w:type="dxa" w:w="1656"/>
            <w:vAlign w:val="center"/>
            <w:shd w:fill="F3F6FA"/>
          </w:tcPr>
          <w:p>
            <w:pPr>
              <w:spacing w:after="20"/>
            </w:pPr>
            <w:r/>
            <w:r>
              <w:rPr>
                <w:rFonts w:ascii="Aptos" w:hAnsi="Aptos"/>
                <w:b w:val="0"/>
                <w:color w:val="14243A"/>
                <w:sz w:val="16"/>
              </w:rPr>
              <w:t>5. Strategy integrity</w:t>
            </w:r>
          </w:p>
        </w:tc>
        <w:tc>
          <w:tcPr>
            <w:tcW w:type="dxa" w:w="5112"/>
            <w:vAlign w:val="center"/>
            <w:shd w:fill="F3F6FA"/>
          </w:tcPr>
          <w:p>
            <w:pPr>
              <w:spacing w:after="20"/>
            </w:pPr>
            <w:r/>
            <w:r>
              <w:rPr>
                <w:rFonts w:ascii="Aptos" w:hAnsi="Aptos"/>
                <w:b w:val="0"/>
                <w:color w:val="14243A"/>
                <w:sz w:val="16"/>
              </w:rPr>
              <w:t>Leg quantities and ordering are valid; payoff calculations pass an independent check.</w:t>
            </w:r>
          </w:p>
        </w:tc>
        <w:tc>
          <w:tcPr>
            <w:tcW w:type="dxa" w:w="3600"/>
            <w:vAlign w:val="center"/>
            <w:shd w:fill="F3F6FA"/>
          </w:tcPr>
          <w:p>
            <w:pPr>
              <w:spacing w:after="20"/>
            </w:pPr>
            <w:r/>
            <w:r>
              <w:rPr>
                <w:rFonts w:ascii="Aptos" w:hAnsi="Aptos"/>
                <w:b w:val="0"/>
                <w:color w:val="14243A"/>
                <w:sz w:val="16"/>
              </w:rPr>
              <w:t>Reject calculation or construction failures.</w:t>
            </w:r>
          </w:p>
        </w:tc>
      </w:tr>
      <w:tr>
        <w:tc>
          <w:tcPr>
            <w:tcW w:type="dxa" w:w="1656"/>
            <w:vAlign w:val="center"/>
            <w:shd w:fill="FFFFFF"/>
          </w:tcPr>
          <w:p>
            <w:pPr>
              <w:spacing w:after="20"/>
            </w:pPr>
            <w:r/>
            <w:r>
              <w:rPr>
                <w:rFonts w:ascii="Aptos" w:hAnsi="Aptos"/>
                <w:b w:val="0"/>
                <w:color w:val="14243A"/>
                <w:sz w:val="16"/>
              </w:rPr>
              <w:t>6. Risk review</w:t>
            </w:r>
          </w:p>
        </w:tc>
        <w:tc>
          <w:tcPr>
            <w:tcW w:type="dxa" w:w="5112"/>
            <w:vAlign w:val="center"/>
            <w:shd w:fill="FFFFFF"/>
          </w:tcPr>
          <w:p>
            <w:pPr>
              <w:spacing w:after="20"/>
            </w:pPr>
            <w:r/>
            <w:r>
              <w:rPr>
                <w:rFonts w:ascii="Aptos" w:hAnsi="Aptos"/>
                <w:b w:val="0"/>
                <w:color w:val="14243A"/>
                <w:sz w:val="16"/>
              </w:rPr>
              <w:t>Loss, breakeven, assignment/event exposure, and known portfolio limits are stated.</w:t>
            </w:r>
          </w:p>
        </w:tc>
        <w:tc>
          <w:tcPr>
            <w:tcW w:type="dxa" w:w="3600"/>
            <w:vAlign w:val="center"/>
            <w:shd w:fill="FFFFFF"/>
          </w:tcPr>
          <w:p>
            <w:pPr>
              <w:spacing w:after="20"/>
            </w:pPr>
            <w:r/>
            <w:r>
              <w:rPr>
                <w:rFonts w:ascii="Aptos" w:hAnsi="Aptos"/>
                <w:b w:val="0"/>
                <w:color w:val="14243A"/>
                <w:sz w:val="16"/>
              </w:rPr>
              <w:t>Constrain eligibility or disclose unassessed exposure.</w:t>
            </w:r>
          </w:p>
        </w:tc>
      </w:tr>
      <w:tr>
        <w:tc>
          <w:tcPr>
            <w:tcW w:type="dxa" w:w="1656"/>
            <w:vAlign w:val="center"/>
            <w:shd w:fill="F3F6FA"/>
          </w:tcPr>
          <w:p>
            <w:pPr>
              <w:spacing w:after="20"/>
            </w:pPr>
            <w:r/>
            <w:r>
              <w:rPr>
                <w:rFonts w:ascii="Aptos" w:hAnsi="Aptos"/>
                <w:b w:val="0"/>
                <w:color w:val="14243A"/>
                <w:sz w:val="16"/>
              </w:rPr>
              <w:t>7. Publication</w:t>
            </w:r>
          </w:p>
        </w:tc>
        <w:tc>
          <w:tcPr>
            <w:tcW w:type="dxa" w:w="5112"/>
            <w:vAlign w:val="center"/>
            <w:shd w:fill="F3F6FA"/>
          </w:tcPr>
          <w:p>
            <w:pPr>
              <w:spacing w:after="20"/>
            </w:pPr>
            <w:r/>
            <w:r>
              <w:rPr>
                <w:rFonts w:ascii="Aptos" w:hAnsi="Aptos"/>
                <w:b w:val="0"/>
                <w:color w:val="14243A"/>
                <w:sz w:val="16"/>
              </w:rPr>
              <w:t>Required evidence, assumptions, status, and human-review language are complete.</w:t>
            </w:r>
          </w:p>
        </w:tc>
        <w:tc>
          <w:tcPr>
            <w:tcW w:type="dxa" w:w="3600"/>
            <w:vAlign w:val="center"/>
            <w:shd w:fill="F3F6FA"/>
          </w:tcPr>
          <w:p>
            <w:pPr>
              <w:spacing w:after="20"/>
            </w:pPr>
            <w:r/>
            <w:r>
              <w:rPr>
                <w:rFonts w:ascii="Aptos" w:hAnsi="Aptos"/>
                <w:b w:val="0"/>
                <w:color w:val="14243A"/>
                <w:sz w:val="16"/>
              </w:rPr>
              <w:t>Do not publish incomplete or misleading cards.</w:t>
            </w:r>
          </w:p>
        </w:tc>
      </w:tr>
    </w:tbl>
    <w:p>
      <w:pPr>
        <w:spacing w:after="20"/>
      </w:pPr>
    </w:p>
    <w:p>
      <w:pPr>
        <w:pStyle w:val="Heading1"/>
      </w:pPr>
      <w:r>
        <w:t>5. Strategy selection follows the outlook</w:t>
      </w:r>
    </w:p>
    <w:p>
      <w:r>
        <w:t>The deterministic strategy map narrows which structures are evaluated for each outlook. It does not imply that every candidate will pass quote, contract, economic, and risk gates.</w:t>
      </w:r>
    </w:p>
    <w:tbl>
      <w:tblPr>
        <w:tblStyle w:val="TableGrid"/>
        <w:tblW w:type="auto" w:w="0"/>
        <w:jc w:val="center"/>
        <w:tblLayout w:type="fixed"/>
        <w:tblLook w:firstColumn="1" w:firstRow="1" w:lastColumn="0" w:lastRow="0" w:noHBand="0" w:noVBand="1" w:val="04A0"/>
      </w:tblPr>
      <w:tblGrid>
        <w:gridCol w:w="3351"/>
        <w:gridCol w:w="3351"/>
        <w:gridCol w:w="3351"/>
      </w:tblGrid>
      <w:tr>
        <w:tc>
          <w:tcPr>
            <w:tcW w:type="dxa" w:w="1872"/>
            <w:vAlign w:val="center"/>
            <w:shd w:fill="14243A"/>
          </w:tcPr>
          <w:p>
            <w:pPr>
              <w:spacing w:after="20"/>
            </w:pPr>
            <w:r/>
            <w:r>
              <w:rPr>
                <w:rFonts w:ascii="Aptos" w:hAnsi="Aptos"/>
                <w:b/>
                <w:color w:val="FFFFFF"/>
                <w:sz w:val="16"/>
              </w:rPr>
              <w:t>Outlook</w:t>
            </w:r>
          </w:p>
        </w:tc>
        <w:tc>
          <w:tcPr>
            <w:tcW w:type="dxa" w:w="4392"/>
            <w:vAlign w:val="center"/>
            <w:shd w:fill="14243A"/>
          </w:tcPr>
          <w:p>
            <w:pPr>
              <w:spacing w:after="20"/>
            </w:pPr>
            <w:r/>
            <w:r>
              <w:rPr>
                <w:rFonts w:ascii="Aptos" w:hAnsi="Aptos"/>
                <w:b/>
                <w:color w:val="FFFFFF"/>
                <w:sz w:val="16"/>
              </w:rPr>
              <w:t>Structures evaluated by the research pipeline</w:t>
            </w:r>
          </w:p>
        </w:tc>
        <w:tc>
          <w:tcPr>
            <w:tcW w:type="dxa" w:w="4104"/>
            <w:vAlign w:val="center"/>
            <w:shd w:fill="14243A"/>
          </w:tcPr>
          <w:p>
            <w:pPr>
              <w:spacing w:after="20"/>
            </w:pPr>
            <w:r/>
            <w:r>
              <w:rPr>
                <w:rFonts w:ascii="Aptos" w:hAnsi="Aptos"/>
                <w:b/>
                <w:color w:val="FFFFFF"/>
                <w:sz w:val="16"/>
              </w:rPr>
              <w:t>Selection notes</w:t>
            </w:r>
          </w:p>
        </w:tc>
      </w:tr>
      <w:tr>
        <w:tc>
          <w:tcPr>
            <w:tcW w:type="dxa" w:w="1872"/>
            <w:vAlign w:val="center"/>
            <w:shd w:fill="F3F6FA"/>
          </w:tcPr>
          <w:p>
            <w:pPr>
              <w:spacing w:after="20"/>
            </w:pPr>
            <w:r/>
            <w:r>
              <w:rPr>
                <w:rFonts w:ascii="Aptos" w:hAnsi="Aptos"/>
                <w:b w:val="0"/>
                <w:color w:val="14243A"/>
                <w:sz w:val="16"/>
              </w:rPr>
              <w:t>Bullish</w:t>
            </w:r>
          </w:p>
        </w:tc>
        <w:tc>
          <w:tcPr>
            <w:tcW w:type="dxa" w:w="4392"/>
            <w:vAlign w:val="center"/>
            <w:shd w:fill="F3F6FA"/>
          </w:tcPr>
          <w:p>
            <w:pPr>
              <w:spacing w:after="20"/>
            </w:pPr>
            <w:r/>
            <w:r>
              <w:rPr>
                <w:rFonts w:ascii="Aptos" w:hAnsi="Aptos"/>
                <w:b w:val="0"/>
                <w:color w:val="14243A"/>
                <w:sz w:val="16"/>
              </w:rPr>
              <w:t>Bull call spread; bull put spread; cash-secured put when ownership strategies are explicitly allowed; PMCC when enabled.</w:t>
            </w:r>
          </w:p>
        </w:tc>
        <w:tc>
          <w:tcPr>
            <w:tcW w:type="dxa" w:w="4104"/>
            <w:vAlign w:val="center"/>
            <w:shd w:fill="F3F6FA"/>
          </w:tcPr>
          <w:p>
            <w:pPr>
              <w:spacing w:after="20"/>
            </w:pPr>
            <w:r/>
            <w:r>
              <w:rPr>
                <w:rFonts w:ascii="Aptos" w:hAnsi="Aptos"/>
                <w:b w:val="0"/>
                <w:color w:val="14243A"/>
                <w:sz w:val="16"/>
              </w:rPr>
              <w:t>Prefer defined-risk structures by default. Ownership-dependent structures require the opt-in configuration.</w:t>
            </w:r>
          </w:p>
        </w:tc>
      </w:tr>
      <w:tr>
        <w:tc>
          <w:tcPr>
            <w:tcW w:type="dxa" w:w="1872"/>
            <w:vAlign w:val="center"/>
            <w:shd w:fill="FFFFFF"/>
          </w:tcPr>
          <w:p>
            <w:pPr>
              <w:spacing w:after="20"/>
            </w:pPr>
            <w:r/>
            <w:r>
              <w:rPr>
                <w:rFonts w:ascii="Aptos" w:hAnsi="Aptos"/>
                <w:b w:val="0"/>
                <w:color w:val="14243A"/>
                <w:sz w:val="16"/>
              </w:rPr>
              <w:t>Bearish</w:t>
            </w:r>
          </w:p>
        </w:tc>
        <w:tc>
          <w:tcPr>
            <w:tcW w:type="dxa" w:w="4392"/>
            <w:vAlign w:val="center"/>
            <w:shd w:fill="FFFFFF"/>
          </w:tcPr>
          <w:p>
            <w:pPr>
              <w:spacing w:after="20"/>
            </w:pPr>
            <w:r/>
            <w:r>
              <w:rPr>
                <w:rFonts w:ascii="Aptos" w:hAnsi="Aptos"/>
                <w:b w:val="0"/>
                <w:color w:val="14243A"/>
                <w:sz w:val="16"/>
              </w:rPr>
              <w:t>Bear put spread; bear call spread.</w:t>
            </w:r>
          </w:p>
        </w:tc>
        <w:tc>
          <w:tcPr>
            <w:tcW w:type="dxa" w:w="4104"/>
            <w:vAlign w:val="center"/>
            <w:shd w:fill="FFFFFF"/>
          </w:tcPr>
          <w:p>
            <w:pPr>
              <w:spacing w:after="20"/>
            </w:pPr>
            <w:r/>
            <w:r>
              <w:rPr>
                <w:rFonts w:ascii="Aptos" w:hAnsi="Aptos"/>
                <w:b w:val="0"/>
                <w:color w:val="14243A"/>
                <w:sz w:val="16"/>
              </w:rPr>
              <w:t>Compare debit/credit economics, breakeven, liquidity, and maximum loss.</w:t>
            </w:r>
          </w:p>
        </w:tc>
      </w:tr>
      <w:tr>
        <w:tc>
          <w:tcPr>
            <w:tcW w:type="dxa" w:w="1872"/>
            <w:vAlign w:val="center"/>
            <w:shd w:fill="F3F6FA"/>
          </w:tcPr>
          <w:p>
            <w:pPr>
              <w:spacing w:after="20"/>
            </w:pPr>
            <w:r/>
            <w:r>
              <w:rPr>
                <w:rFonts w:ascii="Aptos" w:hAnsi="Aptos"/>
                <w:b w:val="0"/>
                <w:color w:val="14243A"/>
                <w:sz w:val="16"/>
              </w:rPr>
              <w:t>Range-bound</w:t>
            </w:r>
          </w:p>
        </w:tc>
        <w:tc>
          <w:tcPr>
            <w:tcW w:type="dxa" w:w="4392"/>
            <w:vAlign w:val="center"/>
            <w:shd w:fill="F3F6FA"/>
          </w:tcPr>
          <w:p>
            <w:pPr>
              <w:spacing w:after="20"/>
            </w:pPr>
            <w:r/>
            <w:r>
              <w:rPr>
                <w:rFonts w:ascii="Aptos" w:hAnsi="Aptos"/>
                <w:b w:val="0"/>
                <w:color w:val="14243A"/>
                <w:sz w:val="16"/>
              </w:rPr>
              <w:t>Iron condor; butterfly.</w:t>
            </w:r>
          </w:p>
        </w:tc>
        <w:tc>
          <w:tcPr>
            <w:tcW w:type="dxa" w:w="4104"/>
            <w:vAlign w:val="center"/>
            <w:shd w:fill="F3F6FA"/>
          </w:tcPr>
          <w:p>
            <w:pPr>
              <w:spacing w:after="20"/>
            </w:pPr>
            <w:r/>
            <w:r>
              <w:rPr>
                <w:rFonts w:ascii="Aptos" w:hAnsi="Aptos"/>
                <w:b w:val="0"/>
                <w:color w:val="14243A"/>
                <w:sz w:val="16"/>
              </w:rPr>
              <w:t>Validate both sides, wings, combined credit/debit, and tail exposure.</w:t>
            </w:r>
          </w:p>
        </w:tc>
      </w:tr>
      <w:tr>
        <w:tc>
          <w:tcPr>
            <w:tcW w:type="dxa" w:w="1872"/>
            <w:vAlign w:val="center"/>
            <w:shd w:fill="FFFFFF"/>
          </w:tcPr>
          <w:p>
            <w:pPr>
              <w:spacing w:after="20"/>
            </w:pPr>
            <w:r/>
            <w:r>
              <w:rPr>
                <w:rFonts w:ascii="Aptos" w:hAnsi="Aptos"/>
                <w:b w:val="0"/>
                <w:color w:val="14243A"/>
                <w:sz w:val="16"/>
              </w:rPr>
              <w:t>Volatility expansion / direction unclear</w:t>
            </w:r>
          </w:p>
        </w:tc>
        <w:tc>
          <w:tcPr>
            <w:tcW w:type="dxa" w:w="4392"/>
            <w:vAlign w:val="center"/>
            <w:shd w:fill="FFFFFF"/>
          </w:tcPr>
          <w:p>
            <w:pPr>
              <w:spacing w:after="20"/>
            </w:pPr>
            <w:r/>
            <w:r>
              <w:rPr>
                <w:rFonts w:ascii="Aptos" w:hAnsi="Aptos"/>
                <w:b w:val="0"/>
                <w:color w:val="14243A"/>
                <w:sz w:val="16"/>
              </w:rPr>
              <w:t>Long straddle; long strangle.</w:t>
            </w:r>
          </w:p>
        </w:tc>
        <w:tc>
          <w:tcPr>
            <w:tcW w:type="dxa" w:w="4104"/>
            <w:vAlign w:val="center"/>
            <w:shd w:fill="FFFFFF"/>
          </w:tcPr>
          <w:p>
            <w:pPr>
              <w:spacing w:after="20"/>
            </w:pPr>
            <w:r/>
            <w:r>
              <w:rPr>
                <w:rFonts w:ascii="Aptos" w:hAnsi="Aptos"/>
                <w:b w:val="0"/>
                <w:color w:val="14243A"/>
                <w:sz w:val="16"/>
              </w:rPr>
              <w:t>Require a movement thesis and compare the expected move with total premium and expiry horizon.</w:t>
            </w:r>
          </w:p>
        </w:tc>
      </w:tr>
    </w:tbl>
    <w:p>
      <w:pPr>
        <w:spacing w:after="20"/>
      </w:pPr>
    </w:p>
    <w:p>
      <w:r>
        <w:t>PMCC is a two-expiration structure: the long call is a LEAPS-style leg and the short call is a nearer-dated leg. Its economics must account for the remaining value of the long call at the short leg’s expiration; a simple spread-width calculation is not sufficient. Eligibility still depends on the retrieved catalog, quotes, account-independent research gates, and configuration.</w:t>
      </w:r>
    </w:p>
    <w:p>
      <w:r>
        <w:t>Other strategies such as covered calls, collars, or stock positions may be valid alternatives in broader product design. They should not be represented as implemented by this research map unless their construction and gates are present in the running code.</w:t>
      </w:r>
    </w:p>
    <w:p>
      <w:pPr>
        <w:pStyle w:val="Heading1"/>
      </w:pPr>
      <w:r>
        <w:t>6. The research card and report</w:t>
      </w:r>
    </w:p>
    <w:p>
      <w:r>
        <w:t>A ranked card should let a reviewer understand why the idea exists, what would prove it wrong, and exactly what contracts and assumptions produce the payoff. The report should keep evidence and uncertainty beside the recommendation instead of hiding failures in logs.</w:t>
      </w:r>
    </w:p>
    <w:p>
      <w:pPr>
        <w:pStyle w:val="ListBullet"/>
        <w:spacing w:after="40"/>
      </w:pPr>
      <w:r>
        <w:t>Identity: run ID, creation time, configuration/rules version, symbol, outlook, rank, and status.</w:t>
      </w:r>
    </w:p>
    <w:p>
      <w:pPr>
        <w:pStyle w:val="ListBullet"/>
        <w:spacing w:after="40"/>
      </w:pPr>
      <w:r>
        <w:t>Thesis: expected move and horizon, supporting evidence, competing evidence, catalyst context, and invalidation conditions.</w:t>
      </w:r>
    </w:p>
    <w:p>
      <w:pPr>
        <w:pStyle w:val="ListBullet"/>
        <w:spacing w:after="40"/>
      </w:pPr>
      <w:r>
        <w:t>Contracts: each leg’s side, quantity, call/put, strike, expiration, quote source, timestamp, bid/ask, and modeled/live classification.</w:t>
      </w:r>
    </w:p>
    <w:p>
      <w:pPr>
        <w:pStyle w:val="ListBullet"/>
        <w:spacing w:after="40"/>
      </w:pPr>
      <w:r>
        <w:t>Economics: net debit or credit, breakeven, maximum gain/loss where computable, fees/slippage assumptions, and five or more scenario points around expiry or the short-leg horizon.</w:t>
      </w:r>
    </w:p>
    <w:p>
      <w:pPr>
        <w:pStyle w:val="ListBullet"/>
        <w:spacing w:after="40"/>
      </w:pPr>
      <w:r>
        <w:t>Risk notes: assignment and event exposure, volatility sensitivity, liquidity limits, and explicit portfolio/concentration limitations.</w:t>
      </w:r>
    </w:p>
    <w:p>
      <w:pPr>
        <w:pStyle w:val="ListBullet"/>
        <w:spacing w:after="40"/>
      </w:pPr>
      <w:r>
        <w:t>Decision record: each gate result, rejection/watchlist reason, and clear “research only; human review required” status.</w:t>
      </w:r>
    </w:p>
    <w:p>
      <w:pPr>
        <w:pStyle w:val="Heading1"/>
      </w:pPr>
      <w:r>
        <w:t>7. Think agent and deterministic pipeline</w:t>
      </w:r>
    </w:p>
    <w:tbl>
      <w:tblPr>
        <w:tblStyle w:val="TableGrid"/>
        <w:tblW w:type="auto" w:w="0"/>
        <w:jc w:val="center"/>
        <w:tblLayout w:type="fixed"/>
        <w:tblLook w:firstColumn="1" w:firstRow="1" w:lastColumn="0" w:lastRow="0" w:noHBand="0" w:noVBand="1" w:val="04A0"/>
      </w:tblPr>
      <w:tblGrid>
        <w:gridCol w:w="3351"/>
        <w:gridCol w:w="3351"/>
        <w:gridCol w:w="3351"/>
      </w:tblGrid>
      <w:tr>
        <w:tc>
          <w:tcPr>
            <w:tcW w:type="dxa" w:w="1944"/>
            <w:vAlign w:val="center"/>
            <w:shd w:fill="14243A"/>
          </w:tcPr>
          <w:p>
            <w:pPr>
              <w:spacing w:after="20"/>
            </w:pPr>
            <w:r/>
            <w:r>
              <w:rPr>
                <w:rFonts w:ascii="Aptos" w:hAnsi="Aptos"/>
                <w:b/>
                <w:color w:val="FFFFFF"/>
                <w:sz w:val="16"/>
              </w:rPr>
              <w:t>Layer</w:t>
            </w:r>
          </w:p>
        </w:tc>
        <w:tc>
          <w:tcPr>
            <w:tcW w:type="dxa" w:w="5040"/>
            <w:vAlign w:val="center"/>
            <w:shd w:fill="14243A"/>
          </w:tcPr>
          <w:p>
            <w:pPr>
              <w:spacing w:after="20"/>
            </w:pPr>
            <w:r/>
            <w:r>
              <w:rPr>
                <w:rFonts w:ascii="Aptos" w:hAnsi="Aptos"/>
                <w:b/>
                <w:color w:val="FFFFFF"/>
                <w:sz w:val="16"/>
              </w:rPr>
              <w:t>Role</w:t>
            </w:r>
          </w:p>
        </w:tc>
        <w:tc>
          <w:tcPr>
            <w:tcW w:type="dxa" w:w="3384"/>
            <w:vAlign w:val="center"/>
            <w:shd w:fill="14243A"/>
          </w:tcPr>
          <w:p>
            <w:pPr>
              <w:spacing w:after="20"/>
            </w:pPr>
            <w:r/>
            <w:r>
              <w:rPr>
                <w:rFonts w:ascii="Aptos" w:hAnsi="Aptos"/>
                <w:b/>
                <w:color w:val="FFFFFF"/>
                <w:sz w:val="16"/>
              </w:rPr>
              <w:t>Source of truth</w:t>
            </w:r>
          </w:p>
        </w:tc>
      </w:tr>
      <w:tr>
        <w:tc>
          <w:tcPr>
            <w:tcW w:type="dxa" w:w="1944"/>
            <w:vAlign w:val="center"/>
            <w:shd w:fill="F3F6FA"/>
          </w:tcPr>
          <w:p>
            <w:pPr>
              <w:spacing w:after="20"/>
            </w:pPr>
            <w:r/>
            <w:r>
              <w:rPr>
                <w:rFonts w:ascii="Aptos" w:hAnsi="Aptos"/>
                <w:b w:val="0"/>
                <w:color w:val="14243A"/>
                <w:sz w:val="16"/>
              </w:rPr>
              <w:t>Think agent</w:t>
            </w:r>
          </w:p>
        </w:tc>
        <w:tc>
          <w:tcPr>
            <w:tcW w:type="dxa" w:w="5040"/>
            <w:vAlign w:val="center"/>
            <w:shd w:fill="F3F6FA"/>
          </w:tcPr>
          <w:p>
            <w:pPr>
              <w:spacing w:after="20"/>
            </w:pPr>
            <w:r/>
            <w:r>
              <w:rPr>
                <w:rFonts w:ascii="Aptos" w:hAnsi="Aptos"/>
                <w:b w:val="0"/>
                <w:color w:val="14243A"/>
                <w:sz w:val="16"/>
              </w:rPr>
              <w:t>Receives the research request, dispatches the research tool, and summarizes the persisted result under a research-only system instruction.</w:t>
            </w:r>
          </w:p>
        </w:tc>
        <w:tc>
          <w:tcPr>
            <w:tcW w:type="dxa" w:w="3384"/>
            <w:vAlign w:val="center"/>
            <w:shd w:fill="F3F6FA"/>
          </w:tcPr>
          <w:p>
            <w:pPr>
              <w:spacing w:after="20"/>
            </w:pPr>
            <w:r/>
            <w:r>
              <w:rPr>
                <w:rFonts w:ascii="Aptos" w:hAnsi="Aptos"/>
                <w:b w:val="0"/>
                <w:color w:val="14243A"/>
                <w:sz w:val="16"/>
              </w:rPr>
              <w:t>LLM-driven orchestration and explanation; required to call the research tool exactly once for a research request.</w:t>
            </w:r>
          </w:p>
        </w:tc>
      </w:tr>
      <w:tr>
        <w:tc>
          <w:tcPr>
            <w:tcW w:type="dxa" w:w="1944"/>
            <w:vAlign w:val="center"/>
            <w:shd w:fill="FFFFFF"/>
          </w:tcPr>
          <w:p>
            <w:pPr>
              <w:spacing w:after="20"/>
            </w:pPr>
            <w:r/>
            <w:r>
              <w:rPr>
                <w:rFonts w:ascii="Aptos" w:hAnsi="Aptos"/>
                <w:b w:val="0"/>
                <w:color w:val="14243A"/>
                <w:sz w:val="16"/>
              </w:rPr>
              <w:t>Research pipeline</w:t>
            </w:r>
          </w:p>
        </w:tc>
        <w:tc>
          <w:tcPr>
            <w:tcW w:type="dxa" w:w="5040"/>
            <w:vAlign w:val="center"/>
            <w:shd w:fill="FFFFFF"/>
          </w:tcPr>
          <w:p>
            <w:pPr>
              <w:spacing w:after="20"/>
            </w:pPr>
            <w:r/>
            <w:r>
              <w:rPr>
                <w:rFonts w:ascii="Aptos" w:hAnsi="Aptos"/>
                <w:b w:val="0"/>
                <w:color w:val="14243A"/>
                <w:sz w:val="16"/>
              </w:rPr>
              <w:t>Retrieves provider data, drafts the rule-based thesis, maps outlook to structures, constructs legs, computes economics, runs gates, ranks, and emits the report.</w:t>
            </w:r>
          </w:p>
        </w:tc>
        <w:tc>
          <w:tcPr>
            <w:tcW w:type="dxa" w:w="3384"/>
            <w:vAlign w:val="center"/>
            <w:shd w:fill="FFFFFF"/>
          </w:tcPr>
          <w:p>
            <w:pPr>
              <w:spacing w:after="20"/>
            </w:pPr>
            <w:r/>
            <w:r>
              <w:rPr>
                <w:rFonts w:ascii="Aptos" w:hAnsi="Aptos"/>
                <w:b w:val="0"/>
                <w:color w:val="14243A"/>
                <w:sz w:val="16"/>
              </w:rPr>
              <w:t>Deterministic business logic with injected data providers and explicit configuration.</w:t>
            </w:r>
          </w:p>
        </w:tc>
      </w:tr>
      <w:tr>
        <w:tc>
          <w:tcPr>
            <w:tcW w:type="dxa" w:w="1944"/>
            <w:vAlign w:val="center"/>
            <w:shd w:fill="F3F6FA"/>
          </w:tcPr>
          <w:p>
            <w:pPr>
              <w:spacing w:after="20"/>
            </w:pPr>
            <w:r/>
            <w:r>
              <w:rPr>
                <w:rFonts w:ascii="Aptos" w:hAnsi="Aptos"/>
                <w:b w:val="0"/>
                <w:color w:val="14243A"/>
                <w:sz w:val="16"/>
              </w:rPr>
              <w:t>Provider layer</w:t>
            </w:r>
          </w:p>
        </w:tc>
        <w:tc>
          <w:tcPr>
            <w:tcW w:type="dxa" w:w="5040"/>
            <w:vAlign w:val="center"/>
            <w:shd w:fill="F3F6FA"/>
          </w:tcPr>
          <w:p>
            <w:pPr>
              <w:spacing w:after="20"/>
            </w:pPr>
            <w:r/>
            <w:r>
              <w:rPr>
                <w:rFonts w:ascii="Aptos" w:hAnsi="Aptos"/>
                <w:b w:val="0"/>
                <w:color w:val="14243A"/>
                <w:sz w:val="16"/>
              </w:rPr>
              <w:t>Supplies E*TRADE market quotes/chains and other configured listing/technical inputs; reports source/freshness and missing feeds.</w:t>
            </w:r>
          </w:p>
        </w:tc>
        <w:tc>
          <w:tcPr>
            <w:tcW w:type="dxa" w:w="3384"/>
            <w:vAlign w:val="center"/>
            <w:shd w:fill="F3F6FA"/>
          </w:tcPr>
          <w:p>
            <w:pPr>
              <w:spacing w:after="20"/>
            </w:pPr>
            <w:r/>
            <w:r>
              <w:rPr>
                <w:rFonts w:ascii="Aptos" w:hAnsi="Aptos"/>
                <w:b w:val="0"/>
                <w:color w:val="14243A"/>
                <w:sz w:val="16"/>
              </w:rPr>
              <w:t>External data, whose availability and quality constrain confidence.</w:t>
            </w:r>
          </w:p>
        </w:tc>
      </w:tr>
      <w:tr>
        <w:tc>
          <w:tcPr>
            <w:tcW w:type="dxa" w:w="1944"/>
            <w:vAlign w:val="center"/>
            <w:shd w:fill="FFFFFF"/>
          </w:tcPr>
          <w:p>
            <w:pPr>
              <w:spacing w:after="20"/>
            </w:pPr>
            <w:r/>
            <w:r>
              <w:rPr>
                <w:rFonts w:ascii="Aptos" w:hAnsi="Aptos"/>
                <w:b w:val="0"/>
                <w:color w:val="14243A"/>
                <w:sz w:val="16"/>
              </w:rPr>
              <w:t>Persistence and publication</w:t>
            </w:r>
          </w:p>
        </w:tc>
        <w:tc>
          <w:tcPr>
            <w:tcW w:type="dxa" w:w="5040"/>
            <w:vAlign w:val="center"/>
            <w:shd w:fill="FFFFFF"/>
          </w:tcPr>
          <w:p>
            <w:pPr>
              <w:spacing w:after="20"/>
            </w:pPr>
            <w:r/>
            <w:r>
              <w:rPr>
                <w:rFonts w:ascii="Aptos" w:hAnsi="Aptos"/>
                <w:b w:val="0"/>
                <w:color w:val="14243A"/>
                <w:sz w:val="16"/>
              </w:rPr>
              <w:t>Stores settings, run history, latest result, and later evaluation in the agent’s durable storage; the orchestrator reads the persisted report and stores the canonical report.</w:t>
            </w:r>
          </w:p>
        </w:tc>
        <w:tc>
          <w:tcPr>
            <w:tcW w:type="dxa" w:w="3384"/>
            <w:vAlign w:val="center"/>
            <w:shd w:fill="FFFFFF"/>
          </w:tcPr>
          <w:p>
            <w:pPr>
              <w:spacing w:after="20"/>
            </w:pPr>
            <w:r/>
            <w:r>
              <w:rPr>
                <w:rFonts w:ascii="Aptos" w:hAnsi="Aptos"/>
                <w:b w:val="0"/>
                <w:color w:val="14243A"/>
                <w:sz w:val="16"/>
              </w:rPr>
              <w:t>Persisted typed report, not an LLM paraphrase, is the result for downstream use.</w:t>
            </w:r>
          </w:p>
        </w:tc>
      </w:tr>
    </w:tbl>
    <w:p>
      <w:pPr>
        <w:spacing w:after="20"/>
      </w:pPr>
    </w:p>
    <w:p>
      <w:r>
        <w:t>If the Think workflow fails to produce the expected persisted run, the orchestrator has a deterministic fallback to invoke the research pipeline directly. That fallback preserves the research result path; it does not create authority to trade. The LLM may explain a result, but it cannot override deterministic gates or fabricate missing evidence.</w:t>
      </w:r>
    </w:p>
    <w:p>
      <w:pPr>
        <w:pStyle w:val="Heading1"/>
      </w:pPr>
      <w:r>
        <w:t>8. Known implementation limits and safeguards</w:t>
      </w:r>
    </w:p>
    <w:tbl>
      <w:tblPr>
        <w:tblStyle w:val="TableGrid"/>
        <w:tblW w:type="auto" w:w="0"/>
        <w:jc w:val="center"/>
        <w:tblLayout w:type="fixed"/>
        <w:tblLook w:firstColumn="1" w:firstRow="1" w:lastColumn="0" w:lastRow="0" w:noHBand="0" w:noVBand="1" w:val="04A0"/>
      </w:tblPr>
      <w:tblGrid>
        <w:gridCol w:w="5026"/>
        <w:gridCol w:w="5026"/>
      </w:tblGrid>
      <w:tr>
        <w:tc>
          <w:tcPr>
            <w:tcW w:type="dxa" w:w="2232"/>
            <w:vAlign w:val="center"/>
            <w:shd w:fill="14243A"/>
          </w:tcPr>
          <w:p>
            <w:pPr>
              <w:spacing w:after="20"/>
            </w:pPr>
            <w:r/>
            <w:r>
              <w:rPr>
                <w:rFonts w:ascii="Aptos" w:hAnsi="Aptos"/>
                <w:b/>
                <w:color w:val="FFFFFF"/>
                <w:sz w:val="16"/>
              </w:rPr>
              <w:t>Area</w:t>
            </w:r>
          </w:p>
        </w:tc>
        <w:tc>
          <w:tcPr>
            <w:tcW w:type="dxa" w:w="8136"/>
            <w:vAlign w:val="center"/>
            <w:shd w:fill="14243A"/>
          </w:tcPr>
          <w:p>
            <w:pPr>
              <w:spacing w:after="20"/>
            </w:pPr>
            <w:r/>
            <w:r>
              <w:rPr>
                <w:rFonts w:ascii="Aptos" w:hAnsi="Aptos"/>
                <w:b/>
                <w:color w:val="FFFFFF"/>
                <w:sz w:val="16"/>
              </w:rPr>
              <w:t>Current behavior and implication</w:t>
            </w:r>
          </w:p>
        </w:tc>
      </w:tr>
      <w:tr>
        <w:tc>
          <w:tcPr>
            <w:tcW w:type="dxa" w:w="2232"/>
            <w:vAlign w:val="center"/>
            <w:shd w:fill="F3F6FA"/>
          </w:tcPr>
          <w:p>
            <w:pPr>
              <w:spacing w:after="20"/>
            </w:pPr>
            <w:r/>
            <w:r>
              <w:rPr>
                <w:rFonts w:ascii="Aptos" w:hAnsi="Aptos"/>
                <w:b w:val="0"/>
                <w:color w:val="14243A"/>
                <w:sz w:val="16"/>
              </w:rPr>
              <w:t>Catalysts</w:t>
            </w:r>
          </w:p>
        </w:tc>
        <w:tc>
          <w:tcPr>
            <w:tcW w:type="dxa" w:w="8136"/>
            <w:vAlign w:val="center"/>
            <w:shd w:fill="F3F6FA"/>
          </w:tcPr>
          <w:p>
            <w:pPr>
              <w:spacing w:after="20"/>
            </w:pPr>
            <w:r/>
            <w:r>
              <w:rPr>
                <w:rFonts w:ascii="Aptos" w:hAnsi="Aptos"/>
                <w:b w:val="0"/>
                <w:color w:val="14243A"/>
                <w:sz w:val="16"/>
              </w:rPr>
              <w:t>No catalyst feed is wired in the provider. Catalyst fields remain absent; the thesis and report flag event-driven drivers as unassessed.</w:t>
            </w:r>
          </w:p>
        </w:tc>
      </w:tr>
      <w:tr>
        <w:tc>
          <w:tcPr>
            <w:tcW w:type="dxa" w:w="2232"/>
            <w:vAlign w:val="center"/>
            <w:shd w:fill="FFFFFF"/>
          </w:tcPr>
          <w:p>
            <w:pPr>
              <w:spacing w:after="20"/>
            </w:pPr>
            <w:r/>
            <w:r>
              <w:rPr>
                <w:rFonts w:ascii="Aptos" w:hAnsi="Aptos"/>
                <w:b w:val="0"/>
                <w:color w:val="14243A"/>
                <w:sz w:val="16"/>
              </w:rPr>
              <w:t>Options prices</w:t>
            </w:r>
          </w:p>
        </w:tc>
        <w:tc>
          <w:tcPr>
            <w:tcW w:type="dxa" w:w="8136"/>
            <w:vAlign w:val="center"/>
            <w:shd w:fill="FFFFFF"/>
          </w:tcPr>
          <w:p>
            <w:pPr>
              <w:spacing w:after="20"/>
            </w:pPr>
            <w:r/>
            <w:r>
              <w:rPr>
                <w:rFonts w:ascii="Aptos" w:hAnsi="Aptos"/>
                <w:b w:val="0"/>
                <w:color w:val="14243A"/>
                <w:sz w:val="16"/>
              </w:rPr>
              <w:t>Live broker quotes and model-calibrated chain data are distinguished. Model-calibrated chains are not treated as qualified live quotes.</w:t>
            </w:r>
          </w:p>
        </w:tc>
      </w:tr>
      <w:tr>
        <w:tc>
          <w:tcPr>
            <w:tcW w:type="dxa" w:w="2232"/>
            <w:vAlign w:val="center"/>
            <w:shd w:fill="F3F6FA"/>
          </w:tcPr>
          <w:p>
            <w:pPr>
              <w:spacing w:after="20"/>
            </w:pPr>
            <w:r/>
            <w:r>
              <w:rPr>
                <w:rFonts w:ascii="Aptos" w:hAnsi="Aptos"/>
                <w:b w:val="0"/>
                <w:color w:val="14243A"/>
                <w:sz w:val="16"/>
              </w:rPr>
              <w:t>Portfolio context</w:t>
            </w:r>
          </w:p>
        </w:tc>
        <w:tc>
          <w:tcPr>
            <w:tcW w:type="dxa" w:w="8136"/>
            <w:vAlign w:val="center"/>
            <w:shd w:fill="F3F6FA"/>
          </w:tcPr>
          <w:p>
            <w:pPr>
              <w:spacing w:after="20"/>
            </w:pPr>
            <w:r/>
            <w:r>
              <w:rPr>
                <w:rFonts w:ascii="Aptos" w:hAnsi="Aptos"/>
                <w:b w:val="0"/>
                <w:color w:val="14243A"/>
                <w:sz w:val="16"/>
              </w:rPr>
              <w:t>The pipeline does not establish portfolio-wide correlation or concentration limits when holdings are unavailable. The report must say so.</w:t>
            </w:r>
          </w:p>
        </w:tc>
      </w:tr>
      <w:tr>
        <w:tc>
          <w:tcPr>
            <w:tcW w:type="dxa" w:w="2232"/>
            <w:vAlign w:val="center"/>
            <w:shd w:fill="FFFFFF"/>
          </w:tcPr>
          <w:p>
            <w:pPr>
              <w:spacing w:after="20"/>
            </w:pPr>
            <w:r/>
            <w:r>
              <w:rPr>
                <w:rFonts w:ascii="Aptos" w:hAnsi="Aptos"/>
                <w:b w:val="0"/>
                <w:color w:val="14243A"/>
                <w:sz w:val="16"/>
              </w:rPr>
              <w:t>Universe and filters</w:t>
            </w:r>
          </w:p>
        </w:tc>
        <w:tc>
          <w:tcPr>
            <w:tcW w:type="dxa" w:w="8136"/>
            <w:vAlign w:val="center"/>
            <w:shd w:fill="FFFFFF"/>
          </w:tcPr>
          <w:p>
            <w:pPr>
              <w:spacing w:after="20"/>
            </w:pPr>
            <w:r/>
            <w:r>
              <w:rPr>
                <w:rFonts w:ascii="Aptos" w:hAnsi="Aptos"/>
                <w:b w:val="0"/>
                <w:color w:val="14243A"/>
                <w:sz w:val="16"/>
              </w:rPr>
              <w:t>Configuration applies a company market-cap floor (default $5B), evaluates ETFs separately, and caps candidate/idea counts. The run records the configuration used.</w:t>
            </w:r>
          </w:p>
        </w:tc>
      </w:tr>
      <w:tr>
        <w:tc>
          <w:tcPr>
            <w:tcW w:type="dxa" w:w="2232"/>
            <w:vAlign w:val="center"/>
            <w:shd w:fill="F3F6FA"/>
          </w:tcPr>
          <w:p>
            <w:pPr>
              <w:spacing w:after="20"/>
            </w:pPr>
            <w:r/>
            <w:r>
              <w:rPr>
                <w:rFonts w:ascii="Aptos" w:hAnsi="Aptos"/>
                <w:b w:val="0"/>
                <w:color w:val="14243A"/>
                <w:sz w:val="16"/>
              </w:rPr>
              <w:t>Ownership-dependent ideas</w:t>
            </w:r>
          </w:p>
        </w:tc>
        <w:tc>
          <w:tcPr>
            <w:tcW w:type="dxa" w:w="8136"/>
            <w:vAlign w:val="center"/>
            <w:shd w:fill="F3F6FA"/>
          </w:tcPr>
          <w:p>
            <w:pPr>
              <w:spacing w:after="20"/>
            </w:pPr>
            <w:r/>
            <w:r>
              <w:rPr>
                <w:rFonts w:ascii="Aptos" w:hAnsi="Aptos"/>
                <w:b w:val="0"/>
                <w:color w:val="14243A"/>
                <w:sz w:val="16"/>
              </w:rPr>
              <w:t>Cash-secured puts and similar ownership-dependent research structures are disabled unless explicitly allowed.</w:t>
            </w:r>
          </w:p>
        </w:tc>
      </w:tr>
      <w:tr>
        <w:tc>
          <w:tcPr>
            <w:tcW w:type="dxa" w:w="2232"/>
            <w:vAlign w:val="center"/>
            <w:shd w:fill="FFFFFF"/>
          </w:tcPr>
          <w:p>
            <w:pPr>
              <w:spacing w:after="20"/>
            </w:pPr>
            <w:r/>
            <w:r>
              <w:rPr>
                <w:rFonts w:ascii="Aptos" w:hAnsi="Aptos"/>
                <w:b w:val="0"/>
                <w:color w:val="14243A"/>
                <w:sz w:val="16"/>
              </w:rPr>
              <w:t>Execution</w:t>
            </w:r>
          </w:p>
        </w:tc>
        <w:tc>
          <w:tcPr>
            <w:tcW w:type="dxa" w:w="8136"/>
            <w:vAlign w:val="center"/>
            <w:shd w:fill="FFFFFF"/>
          </w:tcPr>
          <w:p>
            <w:pPr>
              <w:spacing w:after="20"/>
            </w:pPr>
            <w:r/>
            <w:r>
              <w:rPr>
                <w:rFonts w:ascii="Aptos" w:hAnsi="Aptos"/>
                <w:b w:val="0"/>
                <w:color w:val="14243A"/>
                <w:sz w:val="16"/>
              </w:rPr>
              <w:t>No order preview or order submission is part of autonomous research. A separate, explicitly reviewed trading workflow is required.</w:t>
            </w:r>
          </w:p>
        </w:tc>
      </w:tr>
    </w:tbl>
    <w:p>
      <w:pPr>
        <w:spacing w:after="20"/>
      </w:pPr>
    </w:p>
    <w:p>
      <w:pPr>
        <w:pStyle w:val="Heading1"/>
      </w:pPr>
      <w:r>
        <w:t>9. Evaluation closes the feedback loop</w:t>
      </w:r>
    </w:p>
    <w:p>
      <w:r>
        <w:t>A later evaluation retrieves subsequent market observations for a prior report and compares them with the saved thesis and scenarios. It is linked to the original run so that strategy logic and configuration can be reviewed over time. Outcome evaluation should assess the quality of the research decision, not only whether a trade would have made money; it should preserve missing-data caveats and avoid changing historical inputs.</w:t>
      </w:r>
    </w:p>
    <w:p>
      <w:r>
        <w:t>Useful review dimensions include forecast direction and horizon, scenario calibration, quote quality, gate outcomes, rejected-candidate reasons, and the effect of fees and slippage assumptions. Any rule changes should be versioned so reports from different versions remain interpretable.</w:t>
      </w:r>
    </w:p>
    <w:p>
      <w:pPr>
        <w:pStyle w:val="Heading1"/>
      </w:pPr>
      <w:r>
        <w:t>Implementation references</w:t>
      </w:r>
    </w:p>
    <w:p>
      <w:r>
        <w:t>Primary implementation: src/services/researchPipeline.ts, researchGates.ts, researchEconomics.ts, researchFalsification.ts, researchConfig.ts, researchProviders.ts, src/agents/research-agent.ts, and src/agents/orchestrator.ts. Product specification: GitHub issue #319, “Autonomous Options Research and Trade-Idea Validation agent” (https://github.com/OpenAIMP/cfagent/issues/319).</w:t>
      </w:r>
    </w:p>
    <w:sectPr w:rsidR="00FC693F" w:rsidRPr="0006063C" w:rsidSect="00034616">
      <w:footerReference w:type="default" r:id="rId9"/>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174"/>
        <w:sz w:val="16"/>
      </w:rPr>
      <w:t xml:space="preserve">Autonomous Options Research Pipeline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424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87F8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87F8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424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Options Research Pipeline</dc:title>
  <dc:subject>Research workflow, GPS, ARR, OODA, gates, strategy map, and implementation boundaries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