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93EAB" w14:textId="162671C7" w:rsidR="00056A5C" w:rsidRPr="00D60079" w:rsidRDefault="00056A5C" w:rsidP="00056A5C">
      <w:pPr>
        <w:pStyle w:val="Heading1"/>
        <w:rPr>
          <w:rFonts w:ascii="Arial" w:hAnsi="Arial" w:cs="Arial"/>
        </w:rPr>
      </w:pPr>
      <w:r>
        <w:rPr>
          <w:rFonts w:ascii="Arial" w:hAnsi="Arial" w:cs="Arial"/>
          <w:sz w:val="32"/>
          <w:szCs w:val="32"/>
        </w:rPr>
        <w:t>A</w:t>
      </w:r>
      <w:r w:rsidRPr="00056A5C">
        <w:rPr>
          <w:rFonts w:ascii="Arial" w:hAnsi="Arial" w:cs="Arial"/>
          <w:sz w:val="32"/>
          <w:szCs w:val="32"/>
        </w:rPr>
        <w:t>uto</w:t>
      </w:r>
      <w:r>
        <w:rPr>
          <w:rFonts w:ascii="Arial" w:hAnsi="Arial" w:cs="Arial"/>
          <w:sz w:val="32"/>
          <w:szCs w:val="32"/>
        </w:rPr>
        <w:t>a</w:t>
      </w:r>
      <w:r w:rsidRPr="00056A5C">
        <w:rPr>
          <w:rFonts w:ascii="Arial" w:hAnsi="Arial" w:cs="Arial"/>
          <w:sz w:val="32"/>
          <w:szCs w:val="32"/>
        </w:rPr>
        <w:t xml:space="preserve">valiação dos requisitos de </w:t>
      </w:r>
      <w:r>
        <w:rPr>
          <w:rFonts w:ascii="Arial" w:hAnsi="Arial" w:cs="Arial"/>
          <w:sz w:val="32"/>
          <w:szCs w:val="32"/>
        </w:rPr>
        <w:t>SI</w:t>
      </w:r>
    </w:p>
    <w:p w14:paraId="17DC8400" w14:textId="1B23ACC1" w:rsidR="00056A5C" w:rsidRDefault="006D19CB">
      <w:pPr>
        <w:rPr>
          <w:b/>
          <w:bCs/>
          <w:sz w:val="32"/>
          <w:szCs w:val="32"/>
        </w:rPr>
      </w:pPr>
      <w:r w:rsidRPr="006D19CB">
        <w:rPr>
          <w:b/>
          <w:bCs/>
          <w:sz w:val="32"/>
          <w:szCs w:val="32"/>
        </w:rPr>
        <w:t xml:space="preserve">Versão </w:t>
      </w:r>
      <w:r w:rsidR="0008010E">
        <w:rPr>
          <w:b/>
          <w:bCs/>
          <w:sz w:val="32"/>
          <w:szCs w:val="32"/>
        </w:rPr>
        <w:t>1.0</w:t>
      </w:r>
      <w:r w:rsidR="0008010E">
        <w:rPr>
          <w:b/>
          <w:bCs/>
          <w:sz w:val="32"/>
          <w:szCs w:val="32"/>
        </w:rPr>
        <w:tab/>
      </w:r>
      <w:r>
        <w:rPr>
          <w:b/>
          <w:bCs/>
          <w:sz w:val="32"/>
          <w:szCs w:val="32"/>
        </w:rPr>
        <w:tab/>
      </w:r>
      <w:r w:rsidR="0008010E">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08010E">
        <w:rPr>
          <w:b/>
          <w:bCs/>
          <w:sz w:val="32"/>
          <w:szCs w:val="32"/>
        </w:rPr>
        <w:t>10</w:t>
      </w:r>
      <w:r>
        <w:rPr>
          <w:b/>
          <w:bCs/>
          <w:sz w:val="32"/>
          <w:szCs w:val="32"/>
        </w:rPr>
        <w:t>/02/2021</w:t>
      </w:r>
    </w:p>
    <w:p w14:paraId="5FC0D46F" w14:textId="77777777" w:rsidR="0008010E" w:rsidRPr="006D19CB" w:rsidRDefault="0008010E" w:rsidP="0008010E">
      <w:pPr>
        <w:ind w:firstLine="708"/>
        <w:rPr>
          <w:rFonts w:ascii="Arial" w:hAnsi="Arial" w:cs="Arial"/>
          <w:sz w:val="21"/>
          <w:szCs w:val="21"/>
        </w:rPr>
      </w:pPr>
      <w:r w:rsidRPr="006D19CB">
        <w:rPr>
          <w:rFonts w:ascii="Arial" w:hAnsi="Arial" w:cs="Arial"/>
          <w:sz w:val="21"/>
          <w:szCs w:val="21"/>
        </w:rPr>
        <w:t>Esse documento foi elaborada para auxiliar os participantes do Open Banking a alcançar um nível adequado de Segurança da Informação por meio de um checklist que contém os seguintes domínios:</w:t>
      </w:r>
    </w:p>
    <w:p w14:paraId="03A292F9" w14:textId="77777777" w:rsidR="0008010E" w:rsidRPr="006D19CB" w:rsidRDefault="0008010E" w:rsidP="0008010E">
      <w:pPr>
        <w:pStyle w:val="ListParagraph"/>
        <w:numPr>
          <w:ilvl w:val="0"/>
          <w:numId w:val="1"/>
        </w:numPr>
        <w:jc w:val="both"/>
        <w:rPr>
          <w:rFonts w:ascii="Arial" w:hAnsi="Arial" w:cs="Arial"/>
          <w:sz w:val="21"/>
          <w:szCs w:val="21"/>
        </w:rPr>
      </w:pPr>
      <w:r w:rsidRPr="006D19CB">
        <w:rPr>
          <w:rFonts w:ascii="Arial" w:hAnsi="Arial" w:cs="Arial"/>
          <w:sz w:val="21"/>
          <w:szCs w:val="21"/>
        </w:rPr>
        <w:t xml:space="preserve">Governança: </w:t>
      </w:r>
      <w:r>
        <w:rPr>
          <w:rFonts w:ascii="Arial" w:hAnsi="Arial" w:cs="Arial"/>
          <w:sz w:val="21"/>
          <w:szCs w:val="21"/>
        </w:rPr>
        <w:t>Te</w:t>
      </w:r>
      <w:r w:rsidRPr="006D19CB">
        <w:rPr>
          <w:rFonts w:ascii="Arial" w:hAnsi="Arial" w:cs="Arial"/>
          <w:sz w:val="21"/>
          <w:szCs w:val="21"/>
        </w:rPr>
        <w:t>m o objetivo de estruturar um sistema que alinhe os objetivos específicos da segurança da informação com a estratégia institucional para Open Banking, para dessa forma reduzir os riscos e maximizar a entrega de valor, dirigindo e controlando as atividades da segurança da informação</w:t>
      </w:r>
      <w:r>
        <w:rPr>
          <w:rFonts w:ascii="Arial" w:hAnsi="Arial" w:cs="Arial"/>
          <w:sz w:val="21"/>
          <w:szCs w:val="21"/>
        </w:rPr>
        <w:t>;</w:t>
      </w:r>
    </w:p>
    <w:p w14:paraId="0EED1C79" w14:textId="77777777" w:rsidR="0008010E" w:rsidRPr="006D19CB" w:rsidRDefault="0008010E" w:rsidP="0008010E">
      <w:pPr>
        <w:pStyle w:val="ListParagraph"/>
        <w:numPr>
          <w:ilvl w:val="0"/>
          <w:numId w:val="1"/>
        </w:numPr>
        <w:jc w:val="both"/>
        <w:rPr>
          <w:rFonts w:ascii="Arial" w:hAnsi="Arial" w:cs="Arial"/>
          <w:sz w:val="21"/>
          <w:szCs w:val="21"/>
        </w:rPr>
      </w:pPr>
      <w:r w:rsidRPr="006D19CB">
        <w:rPr>
          <w:rFonts w:ascii="Arial" w:hAnsi="Arial" w:cs="Arial"/>
          <w:sz w:val="21"/>
          <w:szCs w:val="21"/>
        </w:rPr>
        <w:t>Proteção</w:t>
      </w:r>
      <w:r>
        <w:rPr>
          <w:rFonts w:ascii="Arial" w:hAnsi="Arial" w:cs="Arial"/>
          <w:sz w:val="21"/>
          <w:szCs w:val="21"/>
        </w:rPr>
        <w:t xml:space="preserve">: </w:t>
      </w:r>
      <w:r w:rsidRPr="006D19CB">
        <w:rPr>
          <w:rFonts w:ascii="Arial" w:hAnsi="Arial" w:cs="Arial"/>
          <w:sz w:val="21"/>
          <w:szCs w:val="21"/>
        </w:rPr>
        <w:t xml:space="preserve">Definir controles mínimos de segurança da informação, necessários para proteção dos ativos de informações das Instituições </w:t>
      </w:r>
      <w:r>
        <w:rPr>
          <w:rFonts w:ascii="Arial" w:hAnsi="Arial" w:cs="Arial"/>
          <w:sz w:val="21"/>
          <w:szCs w:val="21"/>
        </w:rPr>
        <w:t>participantes</w:t>
      </w:r>
      <w:r w:rsidRPr="006D19CB">
        <w:rPr>
          <w:rFonts w:ascii="Arial" w:hAnsi="Arial" w:cs="Arial"/>
          <w:sz w:val="21"/>
          <w:szCs w:val="21"/>
        </w:rPr>
        <w:t xml:space="preserve"> </w:t>
      </w:r>
      <w:r>
        <w:rPr>
          <w:rFonts w:ascii="Arial" w:hAnsi="Arial" w:cs="Arial"/>
          <w:sz w:val="21"/>
          <w:szCs w:val="21"/>
        </w:rPr>
        <w:t>d</w:t>
      </w:r>
      <w:r w:rsidRPr="006D19CB">
        <w:rPr>
          <w:rFonts w:ascii="Arial" w:hAnsi="Arial" w:cs="Arial"/>
          <w:sz w:val="21"/>
          <w:szCs w:val="21"/>
        </w:rPr>
        <w:t>o Open Banking</w:t>
      </w:r>
      <w:r>
        <w:rPr>
          <w:rFonts w:ascii="Arial" w:hAnsi="Arial" w:cs="Arial"/>
          <w:sz w:val="21"/>
          <w:szCs w:val="21"/>
        </w:rPr>
        <w:t>;</w:t>
      </w:r>
    </w:p>
    <w:p w14:paraId="396A0268" w14:textId="77777777" w:rsidR="0008010E" w:rsidRPr="006D19CB" w:rsidRDefault="0008010E" w:rsidP="0008010E">
      <w:pPr>
        <w:pStyle w:val="ListParagraph"/>
        <w:numPr>
          <w:ilvl w:val="0"/>
          <w:numId w:val="1"/>
        </w:numPr>
        <w:jc w:val="both"/>
        <w:rPr>
          <w:rFonts w:ascii="Arial" w:hAnsi="Arial" w:cs="Arial"/>
          <w:sz w:val="21"/>
          <w:szCs w:val="21"/>
        </w:rPr>
      </w:pPr>
      <w:r w:rsidRPr="006D19CB">
        <w:rPr>
          <w:rFonts w:ascii="Arial" w:hAnsi="Arial" w:cs="Arial"/>
          <w:sz w:val="21"/>
          <w:szCs w:val="21"/>
        </w:rPr>
        <w:t>Dete</w:t>
      </w:r>
      <w:r>
        <w:rPr>
          <w:rFonts w:ascii="Arial" w:hAnsi="Arial" w:cs="Arial"/>
          <w:sz w:val="21"/>
          <w:szCs w:val="21"/>
        </w:rPr>
        <w:t>c</w:t>
      </w:r>
      <w:r w:rsidRPr="006D19CB">
        <w:rPr>
          <w:rFonts w:ascii="Arial" w:hAnsi="Arial" w:cs="Arial"/>
          <w:sz w:val="21"/>
          <w:szCs w:val="21"/>
        </w:rPr>
        <w:t>ção</w:t>
      </w:r>
      <w:r>
        <w:rPr>
          <w:rFonts w:ascii="Arial" w:hAnsi="Arial" w:cs="Arial"/>
          <w:sz w:val="21"/>
          <w:szCs w:val="21"/>
        </w:rPr>
        <w:t xml:space="preserve">: </w:t>
      </w:r>
      <w:r w:rsidRPr="006D19CB">
        <w:rPr>
          <w:rFonts w:ascii="Arial" w:hAnsi="Arial" w:cs="Arial"/>
          <w:sz w:val="21"/>
          <w:szCs w:val="21"/>
        </w:rPr>
        <w:t xml:space="preserve">Demonstrar métodos detectivos de segurança da informação destinados </w:t>
      </w:r>
      <w:r>
        <w:rPr>
          <w:rFonts w:ascii="Arial" w:hAnsi="Arial" w:cs="Arial"/>
          <w:sz w:val="21"/>
          <w:szCs w:val="21"/>
        </w:rPr>
        <w:t>aos participantes do</w:t>
      </w:r>
      <w:r w:rsidRPr="006D19CB">
        <w:rPr>
          <w:rFonts w:ascii="Arial" w:hAnsi="Arial" w:cs="Arial"/>
          <w:sz w:val="21"/>
          <w:szCs w:val="21"/>
        </w:rPr>
        <w:t xml:space="preserve"> Open Banking</w:t>
      </w:r>
      <w:r>
        <w:rPr>
          <w:rFonts w:ascii="Arial" w:hAnsi="Arial" w:cs="Arial"/>
          <w:sz w:val="21"/>
          <w:szCs w:val="21"/>
        </w:rPr>
        <w:t>;</w:t>
      </w:r>
    </w:p>
    <w:p w14:paraId="32EB2F51" w14:textId="67466CC5" w:rsidR="0008010E" w:rsidRPr="006D19CB" w:rsidRDefault="0008010E" w:rsidP="0008010E">
      <w:pPr>
        <w:pStyle w:val="ListParagraph"/>
        <w:numPr>
          <w:ilvl w:val="0"/>
          <w:numId w:val="1"/>
        </w:numPr>
        <w:jc w:val="both"/>
        <w:rPr>
          <w:rFonts w:ascii="Arial" w:hAnsi="Arial" w:cs="Arial"/>
          <w:sz w:val="21"/>
          <w:szCs w:val="21"/>
        </w:rPr>
      </w:pPr>
      <w:r w:rsidRPr="006D19CB">
        <w:rPr>
          <w:rFonts w:ascii="Arial" w:hAnsi="Arial" w:cs="Arial"/>
          <w:sz w:val="21"/>
          <w:szCs w:val="21"/>
        </w:rPr>
        <w:t>Reação</w:t>
      </w:r>
      <w:r>
        <w:rPr>
          <w:rFonts w:ascii="Arial" w:hAnsi="Arial" w:cs="Arial"/>
          <w:sz w:val="21"/>
          <w:szCs w:val="21"/>
        </w:rPr>
        <w:t xml:space="preserve">: </w:t>
      </w:r>
      <w:r w:rsidRPr="006D19CB">
        <w:rPr>
          <w:rFonts w:ascii="Arial" w:hAnsi="Arial" w:cs="Arial"/>
          <w:sz w:val="21"/>
          <w:szCs w:val="21"/>
        </w:rPr>
        <w:t xml:space="preserve">Definir controles, capacitação e processos integrados de modo que os participantes </w:t>
      </w:r>
      <w:r w:rsidR="00894A0B">
        <w:rPr>
          <w:rFonts w:ascii="Arial" w:hAnsi="Arial" w:cs="Arial"/>
          <w:sz w:val="21"/>
          <w:szCs w:val="21"/>
        </w:rPr>
        <w:t>d</w:t>
      </w:r>
      <w:r w:rsidRPr="006D19CB">
        <w:rPr>
          <w:rFonts w:ascii="Arial" w:hAnsi="Arial" w:cs="Arial"/>
          <w:sz w:val="21"/>
          <w:szCs w:val="21"/>
        </w:rPr>
        <w:t>o Open Banking possam responder a eventos e violações de segurança e se comunicarem entre si quando necessário</w:t>
      </w:r>
      <w:r>
        <w:rPr>
          <w:rFonts w:ascii="Arial" w:hAnsi="Arial" w:cs="Arial"/>
          <w:sz w:val="21"/>
          <w:szCs w:val="21"/>
        </w:rPr>
        <w:t>;</w:t>
      </w:r>
    </w:p>
    <w:p w14:paraId="0383009C" w14:textId="0F40E8FF" w:rsidR="0008010E" w:rsidRPr="006D19CB" w:rsidRDefault="0008010E" w:rsidP="0008010E">
      <w:pPr>
        <w:pStyle w:val="ListParagraph"/>
        <w:numPr>
          <w:ilvl w:val="0"/>
          <w:numId w:val="1"/>
        </w:numPr>
        <w:jc w:val="both"/>
        <w:rPr>
          <w:rFonts w:ascii="Arial" w:hAnsi="Arial" w:cs="Arial"/>
          <w:sz w:val="21"/>
          <w:szCs w:val="21"/>
        </w:rPr>
      </w:pPr>
      <w:r w:rsidRPr="006D19CB">
        <w:rPr>
          <w:rFonts w:ascii="Arial" w:hAnsi="Arial" w:cs="Arial"/>
          <w:sz w:val="21"/>
          <w:szCs w:val="21"/>
        </w:rPr>
        <w:t>Diretório</w:t>
      </w:r>
      <w:r>
        <w:rPr>
          <w:rFonts w:ascii="Arial" w:hAnsi="Arial" w:cs="Arial"/>
          <w:sz w:val="21"/>
          <w:szCs w:val="21"/>
        </w:rPr>
        <w:t xml:space="preserve">: Define </w:t>
      </w:r>
      <w:r w:rsidR="009F07EC">
        <w:rPr>
          <w:rFonts w:ascii="Arial" w:hAnsi="Arial" w:cs="Arial"/>
          <w:sz w:val="21"/>
          <w:szCs w:val="21"/>
        </w:rPr>
        <w:t>controles</w:t>
      </w:r>
      <w:r w:rsidR="00DF3ACB">
        <w:rPr>
          <w:rFonts w:ascii="Arial" w:hAnsi="Arial" w:cs="Arial"/>
          <w:sz w:val="21"/>
          <w:szCs w:val="21"/>
        </w:rPr>
        <w:t xml:space="preserve"> </w:t>
      </w:r>
      <w:r w:rsidR="00260569">
        <w:rPr>
          <w:rFonts w:ascii="Arial" w:hAnsi="Arial" w:cs="Arial"/>
          <w:sz w:val="21"/>
          <w:szCs w:val="21"/>
        </w:rPr>
        <w:t>que os participantes</w:t>
      </w:r>
      <w:r w:rsidR="00894A0B">
        <w:rPr>
          <w:rFonts w:ascii="Arial" w:hAnsi="Arial" w:cs="Arial"/>
          <w:sz w:val="21"/>
          <w:szCs w:val="21"/>
        </w:rPr>
        <w:t xml:space="preserve"> </w:t>
      </w:r>
      <w:r w:rsidR="00260569">
        <w:rPr>
          <w:rFonts w:ascii="Arial" w:hAnsi="Arial" w:cs="Arial"/>
          <w:sz w:val="21"/>
          <w:szCs w:val="21"/>
        </w:rPr>
        <w:t xml:space="preserve">devem </w:t>
      </w:r>
      <w:r w:rsidR="00D96E6C">
        <w:rPr>
          <w:rFonts w:ascii="Arial" w:hAnsi="Arial" w:cs="Arial"/>
          <w:sz w:val="21"/>
          <w:szCs w:val="21"/>
        </w:rPr>
        <w:t>exercer</w:t>
      </w:r>
      <w:r w:rsidR="00260569">
        <w:rPr>
          <w:rFonts w:ascii="Arial" w:hAnsi="Arial" w:cs="Arial"/>
          <w:sz w:val="21"/>
          <w:szCs w:val="21"/>
        </w:rPr>
        <w:t xml:space="preserve"> no Diretório</w:t>
      </w:r>
      <w:r w:rsidR="008F650A">
        <w:rPr>
          <w:rFonts w:ascii="Arial" w:hAnsi="Arial" w:cs="Arial"/>
          <w:sz w:val="21"/>
          <w:szCs w:val="21"/>
        </w:rPr>
        <w:t xml:space="preserve"> relacionados à Segurança da Informação</w:t>
      </w:r>
      <w:r>
        <w:rPr>
          <w:rFonts w:ascii="Arial" w:hAnsi="Arial" w:cs="Arial"/>
          <w:sz w:val="21"/>
          <w:szCs w:val="21"/>
        </w:rPr>
        <w:t>.</w:t>
      </w:r>
    </w:p>
    <w:p w14:paraId="556ED2EF" w14:textId="53BB0D67" w:rsidR="00056A5C" w:rsidRDefault="0008010E" w:rsidP="0008010E">
      <w:pPr>
        <w:ind w:left="360" w:firstLine="348"/>
        <w:rPr>
          <w:rFonts w:ascii="Arial" w:hAnsi="Arial" w:cs="Arial"/>
          <w:sz w:val="21"/>
          <w:szCs w:val="21"/>
        </w:rPr>
      </w:pPr>
      <w:r w:rsidRPr="006D19CB">
        <w:rPr>
          <w:rFonts w:ascii="Arial" w:hAnsi="Arial" w:cs="Arial"/>
          <w:sz w:val="21"/>
          <w:szCs w:val="21"/>
        </w:rPr>
        <w:t>Deve ser feito o preenchimento da coluna “Implementação”, quando aplicável, com “Sim”, “Não” ou “N/A”</w:t>
      </w:r>
      <w:r>
        <w:rPr>
          <w:rFonts w:ascii="Arial" w:hAnsi="Arial" w:cs="Arial"/>
          <w:sz w:val="21"/>
          <w:szCs w:val="21"/>
        </w:rPr>
        <w:t xml:space="preserve"> (N/A quando o item descrito não se aplica à instituição)</w:t>
      </w:r>
      <w:r w:rsidRPr="006D19CB">
        <w:rPr>
          <w:rFonts w:ascii="Arial" w:hAnsi="Arial" w:cs="Arial"/>
          <w:sz w:val="21"/>
          <w:szCs w:val="21"/>
        </w:rPr>
        <w:t xml:space="preserve"> a fim de </w:t>
      </w:r>
      <w:r>
        <w:rPr>
          <w:rFonts w:ascii="Arial" w:hAnsi="Arial" w:cs="Arial"/>
          <w:sz w:val="21"/>
          <w:szCs w:val="21"/>
        </w:rPr>
        <w:t>mensurar o nível de maturidade de Segurança (SI) da instituição participante do Open Banking.</w:t>
      </w:r>
    </w:p>
    <w:p w14:paraId="2A3F019A" w14:textId="77777777" w:rsidR="00B1198D" w:rsidRPr="00B1198D" w:rsidRDefault="00B1198D" w:rsidP="00B1198D">
      <w:pPr>
        <w:ind w:left="360" w:firstLine="348"/>
        <w:rPr>
          <w:rFonts w:ascii="Arial" w:hAnsi="Arial" w:cs="Arial"/>
          <w:sz w:val="21"/>
          <w:szCs w:val="21"/>
        </w:rPr>
      </w:pPr>
    </w:p>
    <w:tbl>
      <w:tblPr>
        <w:tblW w:w="11346" w:type="dxa"/>
        <w:tblInd w:w="-1423" w:type="dxa"/>
        <w:tblLayout w:type="fixed"/>
        <w:tblCellMar>
          <w:left w:w="70" w:type="dxa"/>
          <w:right w:w="70" w:type="dxa"/>
        </w:tblCellMar>
        <w:tblLook w:val="04A0" w:firstRow="1" w:lastRow="0" w:firstColumn="1" w:lastColumn="0" w:noHBand="0" w:noVBand="1"/>
      </w:tblPr>
      <w:tblGrid>
        <w:gridCol w:w="1002"/>
        <w:gridCol w:w="810"/>
        <w:gridCol w:w="8395"/>
        <w:gridCol w:w="1139"/>
      </w:tblGrid>
      <w:tr w:rsidR="007428BC" w:rsidRPr="007428BC" w14:paraId="5B7DD42B" w14:textId="77777777" w:rsidTr="007428BC">
        <w:trPr>
          <w:trHeight w:val="310"/>
        </w:trPr>
        <w:tc>
          <w:tcPr>
            <w:tcW w:w="11346" w:type="dxa"/>
            <w:gridSpan w:val="4"/>
            <w:tcBorders>
              <w:top w:val="single" w:sz="4" w:space="0" w:color="auto"/>
              <w:left w:val="single" w:sz="4" w:space="0" w:color="auto"/>
              <w:bottom w:val="single" w:sz="4" w:space="0" w:color="auto"/>
              <w:right w:val="single" w:sz="4" w:space="0" w:color="000000"/>
            </w:tcBorders>
            <w:shd w:val="clear" w:color="000000" w:fill="3A3838"/>
            <w:vAlign w:val="center"/>
            <w:hideMark/>
          </w:tcPr>
          <w:p w14:paraId="6A04F6D2" w14:textId="77777777" w:rsidR="007428BC" w:rsidRPr="007428BC" w:rsidRDefault="007428BC" w:rsidP="007428BC">
            <w:pPr>
              <w:spacing w:after="0" w:line="240" w:lineRule="auto"/>
              <w:jc w:val="center"/>
              <w:rPr>
                <w:rFonts w:ascii="Arial" w:eastAsia="Times New Roman" w:hAnsi="Arial" w:cs="Arial"/>
                <w:b/>
                <w:bCs/>
                <w:color w:val="FFFFFF"/>
                <w:sz w:val="24"/>
                <w:szCs w:val="24"/>
                <w:lang w:eastAsia="pt-BR" w:bidi="kn-IN"/>
              </w:rPr>
            </w:pPr>
            <w:r w:rsidRPr="007428BC">
              <w:rPr>
                <w:rFonts w:ascii="Arial" w:eastAsia="Times New Roman" w:hAnsi="Arial" w:cs="Arial"/>
                <w:b/>
                <w:bCs/>
                <w:color w:val="FFFFFF"/>
                <w:sz w:val="24"/>
                <w:szCs w:val="24"/>
                <w:lang w:eastAsia="pt-BR" w:bidi="kn-IN"/>
              </w:rPr>
              <w:t>Checklist para auto avaliação aos cumprimentos dos requisitos de segurança da informação</w:t>
            </w:r>
          </w:p>
        </w:tc>
      </w:tr>
      <w:tr w:rsidR="007428BC" w:rsidRPr="007428BC" w14:paraId="7DA1F58D"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3A3838"/>
            <w:vAlign w:val="center"/>
            <w:hideMark/>
          </w:tcPr>
          <w:p w14:paraId="05415575" w14:textId="77777777" w:rsidR="007428BC" w:rsidRPr="007428BC" w:rsidRDefault="007428BC" w:rsidP="007428BC">
            <w:pPr>
              <w:spacing w:after="0" w:line="240" w:lineRule="auto"/>
              <w:jc w:val="center"/>
              <w:rPr>
                <w:rFonts w:ascii="Arial" w:eastAsia="Times New Roman" w:hAnsi="Arial" w:cs="Arial"/>
                <w:b/>
                <w:bCs/>
                <w:color w:val="FFFFFF"/>
                <w:lang w:eastAsia="pt-BR" w:bidi="kn-IN"/>
              </w:rPr>
            </w:pPr>
            <w:r w:rsidRPr="007428BC">
              <w:rPr>
                <w:rFonts w:ascii="Arial" w:eastAsia="Times New Roman" w:hAnsi="Arial" w:cs="Arial"/>
                <w:b/>
                <w:bCs/>
                <w:color w:val="FFFFFF"/>
                <w:lang w:eastAsia="pt-BR" w:bidi="kn-IN"/>
              </w:rPr>
              <w:t>Seção</w:t>
            </w:r>
          </w:p>
        </w:tc>
        <w:tc>
          <w:tcPr>
            <w:tcW w:w="810" w:type="dxa"/>
            <w:tcBorders>
              <w:top w:val="nil"/>
              <w:left w:val="nil"/>
              <w:bottom w:val="single" w:sz="4" w:space="0" w:color="auto"/>
              <w:right w:val="single" w:sz="4" w:space="0" w:color="auto"/>
            </w:tcBorders>
            <w:shd w:val="clear" w:color="000000" w:fill="3A3838"/>
            <w:vAlign w:val="center"/>
            <w:hideMark/>
          </w:tcPr>
          <w:p w14:paraId="36782932" w14:textId="77777777" w:rsidR="007428BC" w:rsidRPr="007428BC" w:rsidRDefault="007428BC" w:rsidP="007428BC">
            <w:pPr>
              <w:spacing w:after="0" w:line="240" w:lineRule="auto"/>
              <w:jc w:val="center"/>
              <w:rPr>
                <w:rFonts w:ascii="Arial" w:eastAsia="Times New Roman" w:hAnsi="Arial" w:cs="Arial"/>
                <w:b/>
                <w:bCs/>
                <w:color w:val="FFFFFF"/>
                <w:lang w:eastAsia="pt-BR" w:bidi="kn-IN"/>
              </w:rPr>
            </w:pPr>
            <w:r w:rsidRPr="007428BC">
              <w:rPr>
                <w:rFonts w:ascii="Arial" w:eastAsia="Times New Roman" w:hAnsi="Arial" w:cs="Arial"/>
                <w:b/>
                <w:bCs/>
                <w:color w:val="FFFFFF"/>
                <w:lang w:eastAsia="pt-BR" w:bidi="kn-IN"/>
              </w:rPr>
              <w:t>Item</w:t>
            </w:r>
          </w:p>
        </w:tc>
        <w:tc>
          <w:tcPr>
            <w:tcW w:w="8395" w:type="dxa"/>
            <w:tcBorders>
              <w:top w:val="nil"/>
              <w:left w:val="nil"/>
              <w:bottom w:val="single" w:sz="4" w:space="0" w:color="auto"/>
              <w:right w:val="single" w:sz="4" w:space="0" w:color="auto"/>
            </w:tcBorders>
            <w:shd w:val="clear" w:color="000000" w:fill="3A3838"/>
            <w:vAlign w:val="center"/>
            <w:hideMark/>
          </w:tcPr>
          <w:p w14:paraId="3AD125C7" w14:textId="77777777" w:rsidR="007428BC" w:rsidRPr="007428BC" w:rsidRDefault="007428BC" w:rsidP="007428BC">
            <w:pPr>
              <w:spacing w:after="0" w:line="240" w:lineRule="auto"/>
              <w:jc w:val="center"/>
              <w:rPr>
                <w:rFonts w:ascii="Arial" w:eastAsia="Times New Roman" w:hAnsi="Arial" w:cs="Arial"/>
                <w:b/>
                <w:bCs/>
                <w:color w:val="FFFFFF"/>
                <w:lang w:eastAsia="pt-BR" w:bidi="kn-IN"/>
              </w:rPr>
            </w:pPr>
            <w:r w:rsidRPr="007428BC">
              <w:rPr>
                <w:rFonts w:ascii="Arial" w:eastAsia="Times New Roman" w:hAnsi="Arial" w:cs="Arial"/>
                <w:b/>
                <w:bCs/>
                <w:color w:val="FFFFFF"/>
                <w:lang w:eastAsia="pt-BR" w:bidi="kn-IN"/>
              </w:rPr>
              <w:t>Título</w:t>
            </w:r>
          </w:p>
        </w:tc>
        <w:tc>
          <w:tcPr>
            <w:tcW w:w="1139" w:type="dxa"/>
            <w:tcBorders>
              <w:top w:val="nil"/>
              <w:left w:val="nil"/>
              <w:bottom w:val="single" w:sz="4" w:space="0" w:color="auto"/>
              <w:right w:val="single" w:sz="4" w:space="0" w:color="auto"/>
            </w:tcBorders>
            <w:shd w:val="clear" w:color="000000" w:fill="3A3838"/>
            <w:vAlign w:val="center"/>
            <w:hideMark/>
          </w:tcPr>
          <w:p w14:paraId="04A30921" w14:textId="77777777" w:rsidR="007428BC" w:rsidRPr="007428BC" w:rsidRDefault="007428BC" w:rsidP="007428BC">
            <w:pPr>
              <w:spacing w:after="0" w:line="240" w:lineRule="auto"/>
              <w:jc w:val="center"/>
              <w:rPr>
                <w:rFonts w:ascii="Arial" w:eastAsia="Times New Roman" w:hAnsi="Arial" w:cs="Arial"/>
                <w:b/>
                <w:bCs/>
                <w:color w:val="FFFFFF"/>
                <w:lang w:eastAsia="pt-BR" w:bidi="kn-IN"/>
              </w:rPr>
            </w:pPr>
            <w:r w:rsidRPr="007428BC">
              <w:rPr>
                <w:rFonts w:ascii="Arial" w:eastAsia="Times New Roman" w:hAnsi="Arial" w:cs="Arial"/>
                <w:b/>
                <w:bCs/>
                <w:color w:val="FFFFFF"/>
                <w:lang w:eastAsia="pt-BR" w:bidi="kn-IN"/>
              </w:rPr>
              <w:t>Implementação</w:t>
            </w:r>
          </w:p>
        </w:tc>
      </w:tr>
      <w:tr w:rsidR="007428BC" w:rsidRPr="007428BC" w14:paraId="0A0AB7BC"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AEAAAA"/>
            <w:noWrap/>
            <w:vAlign w:val="center"/>
            <w:hideMark/>
          </w:tcPr>
          <w:p w14:paraId="495615C3" w14:textId="77777777" w:rsidR="007428BC" w:rsidRPr="007428BC" w:rsidRDefault="007428BC" w:rsidP="007428BC">
            <w:pPr>
              <w:spacing w:after="0" w:line="240" w:lineRule="auto"/>
              <w:jc w:val="center"/>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1</w:t>
            </w:r>
          </w:p>
        </w:tc>
        <w:tc>
          <w:tcPr>
            <w:tcW w:w="810" w:type="dxa"/>
            <w:tcBorders>
              <w:top w:val="nil"/>
              <w:left w:val="nil"/>
              <w:bottom w:val="single" w:sz="4" w:space="0" w:color="auto"/>
              <w:right w:val="single" w:sz="4" w:space="0" w:color="auto"/>
            </w:tcBorders>
            <w:shd w:val="clear" w:color="000000" w:fill="AEAAAA"/>
            <w:noWrap/>
            <w:vAlign w:val="center"/>
            <w:hideMark/>
          </w:tcPr>
          <w:p w14:paraId="068DB74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c>
          <w:tcPr>
            <w:tcW w:w="8395" w:type="dxa"/>
            <w:tcBorders>
              <w:top w:val="nil"/>
              <w:left w:val="nil"/>
              <w:bottom w:val="single" w:sz="4" w:space="0" w:color="auto"/>
              <w:right w:val="single" w:sz="4" w:space="0" w:color="auto"/>
            </w:tcBorders>
            <w:shd w:val="clear" w:color="000000" w:fill="AEAAAA"/>
            <w:noWrap/>
            <w:vAlign w:val="center"/>
            <w:hideMark/>
          </w:tcPr>
          <w:p w14:paraId="05BCE5AE" w14:textId="77777777" w:rsidR="007428BC" w:rsidRPr="007428BC" w:rsidRDefault="007428BC" w:rsidP="007428BC">
            <w:pPr>
              <w:spacing w:after="0" w:line="240" w:lineRule="auto"/>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Governança</w:t>
            </w:r>
          </w:p>
        </w:tc>
        <w:tc>
          <w:tcPr>
            <w:tcW w:w="1139" w:type="dxa"/>
            <w:tcBorders>
              <w:top w:val="nil"/>
              <w:left w:val="nil"/>
              <w:bottom w:val="single" w:sz="4" w:space="0" w:color="auto"/>
              <w:right w:val="single" w:sz="4" w:space="0" w:color="auto"/>
            </w:tcBorders>
            <w:shd w:val="clear" w:color="000000" w:fill="AEAAAA"/>
            <w:vAlign w:val="center"/>
            <w:hideMark/>
          </w:tcPr>
          <w:p w14:paraId="3AC3F13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7ACAB27" w14:textId="77777777" w:rsidTr="00A9519A">
        <w:trPr>
          <w:trHeight w:val="55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5837637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5FEFA09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1.1</w:t>
            </w:r>
          </w:p>
        </w:tc>
        <w:tc>
          <w:tcPr>
            <w:tcW w:w="8395" w:type="dxa"/>
            <w:tcBorders>
              <w:top w:val="nil"/>
              <w:left w:val="nil"/>
              <w:bottom w:val="single" w:sz="4" w:space="0" w:color="auto"/>
              <w:right w:val="single" w:sz="4" w:space="0" w:color="auto"/>
            </w:tcBorders>
            <w:shd w:val="clear" w:color="000000" w:fill="FFFFFF"/>
            <w:vAlign w:val="center"/>
            <w:hideMark/>
          </w:tcPr>
          <w:p w14:paraId="06F0FBA8" w14:textId="3B9F6E44" w:rsidR="00314296" w:rsidRPr="007428BC" w:rsidRDefault="007428BC" w:rsidP="00314296">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Compõem, de forma não exaustiva, o rol de atos normativos cuja observância é essencial pelas instituições participantes do Open Banking:</w:t>
            </w:r>
          </w:p>
        </w:tc>
        <w:tc>
          <w:tcPr>
            <w:tcW w:w="1139" w:type="dxa"/>
            <w:tcBorders>
              <w:top w:val="nil"/>
              <w:left w:val="nil"/>
              <w:bottom w:val="single" w:sz="4" w:space="0" w:color="auto"/>
              <w:right w:val="single" w:sz="4" w:space="0" w:color="auto"/>
            </w:tcBorders>
            <w:shd w:val="clear" w:color="000000" w:fill="FFFFFF"/>
            <w:noWrap/>
            <w:vAlign w:val="center"/>
            <w:hideMark/>
          </w:tcPr>
          <w:p w14:paraId="65F308FC" w14:textId="2EB2FDD4" w:rsidR="007428BC" w:rsidRPr="007428BC" w:rsidRDefault="007428BC" w:rsidP="007428BC">
            <w:pPr>
              <w:spacing w:after="0" w:line="240" w:lineRule="auto"/>
              <w:jc w:val="center"/>
              <w:rPr>
                <w:rFonts w:ascii="Arial" w:eastAsia="Times New Roman" w:hAnsi="Arial" w:cs="Arial"/>
                <w:color w:val="000000"/>
                <w:lang w:eastAsia="pt-BR" w:bidi="kn-IN"/>
              </w:rPr>
            </w:pPr>
          </w:p>
        </w:tc>
      </w:tr>
      <w:tr w:rsidR="007428BC" w:rsidRPr="007428BC" w14:paraId="5DEF2843"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762EB774" w14:textId="120E534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r w:rsidR="00D077E6"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7940D77F"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1.1.1</w:t>
            </w:r>
          </w:p>
        </w:tc>
        <w:tc>
          <w:tcPr>
            <w:tcW w:w="8395" w:type="dxa"/>
            <w:tcBorders>
              <w:top w:val="nil"/>
              <w:left w:val="nil"/>
              <w:bottom w:val="single" w:sz="4" w:space="0" w:color="auto"/>
              <w:right w:val="single" w:sz="4" w:space="0" w:color="auto"/>
            </w:tcBorders>
            <w:shd w:val="clear" w:color="000000" w:fill="FFFFFF"/>
            <w:vAlign w:val="center"/>
            <w:hideMark/>
          </w:tcPr>
          <w:p w14:paraId="479814CE"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Resolução Conjunta CMN/BCB nº 1, de 2020;</w:t>
            </w:r>
          </w:p>
        </w:tc>
        <w:tc>
          <w:tcPr>
            <w:tcW w:w="1139" w:type="dxa"/>
            <w:tcBorders>
              <w:top w:val="nil"/>
              <w:left w:val="nil"/>
              <w:bottom w:val="single" w:sz="4" w:space="0" w:color="auto"/>
              <w:right w:val="single" w:sz="4" w:space="0" w:color="auto"/>
            </w:tcBorders>
            <w:shd w:val="clear" w:color="000000" w:fill="FFFFFF"/>
            <w:noWrap/>
            <w:vAlign w:val="center"/>
            <w:hideMark/>
          </w:tcPr>
          <w:p w14:paraId="3062EB71" w14:textId="23C06910"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006A19D"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AE886DB" w14:textId="4A9D7FC4"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r w:rsidR="00D077E6"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058A445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1.1.2</w:t>
            </w:r>
          </w:p>
        </w:tc>
        <w:tc>
          <w:tcPr>
            <w:tcW w:w="8395" w:type="dxa"/>
            <w:tcBorders>
              <w:top w:val="nil"/>
              <w:left w:val="nil"/>
              <w:bottom w:val="single" w:sz="4" w:space="0" w:color="auto"/>
              <w:right w:val="single" w:sz="4" w:space="0" w:color="auto"/>
            </w:tcBorders>
            <w:shd w:val="clear" w:color="000000" w:fill="FFFFFF"/>
            <w:vAlign w:val="center"/>
            <w:hideMark/>
          </w:tcPr>
          <w:p w14:paraId="246CB412"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Resolução CMN nº 4.658, de 2018;</w:t>
            </w:r>
          </w:p>
        </w:tc>
        <w:tc>
          <w:tcPr>
            <w:tcW w:w="1139" w:type="dxa"/>
            <w:tcBorders>
              <w:top w:val="nil"/>
              <w:left w:val="nil"/>
              <w:bottom w:val="single" w:sz="4" w:space="0" w:color="auto"/>
              <w:right w:val="single" w:sz="4" w:space="0" w:color="auto"/>
            </w:tcBorders>
            <w:shd w:val="clear" w:color="000000" w:fill="FFFFFF"/>
            <w:noWrap/>
            <w:vAlign w:val="center"/>
            <w:hideMark/>
          </w:tcPr>
          <w:p w14:paraId="7944D0AE" w14:textId="278B4363"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9267B89"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7972EE5B" w14:textId="173B6C28"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r w:rsidR="00D077E6"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492F0F98"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1.1.3</w:t>
            </w:r>
          </w:p>
        </w:tc>
        <w:tc>
          <w:tcPr>
            <w:tcW w:w="8395" w:type="dxa"/>
            <w:tcBorders>
              <w:top w:val="nil"/>
              <w:left w:val="nil"/>
              <w:bottom w:val="single" w:sz="4" w:space="0" w:color="auto"/>
              <w:right w:val="single" w:sz="4" w:space="0" w:color="auto"/>
            </w:tcBorders>
            <w:shd w:val="clear" w:color="000000" w:fill="FFFFFF"/>
            <w:vAlign w:val="center"/>
            <w:hideMark/>
          </w:tcPr>
          <w:p w14:paraId="2D7621D9"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Circular BCB nº 3.909, de 2018; e</w:t>
            </w:r>
          </w:p>
        </w:tc>
        <w:tc>
          <w:tcPr>
            <w:tcW w:w="1139" w:type="dxa"/>
            <w:tcBorders>
              <w:top w:val="nil"/>
              <w:left w:val="nil"/>
              <w:bottom w:val="single" w:sz="4" w:space="0" w:color="auto"/>
              <w:right w:val="single" w:sz="4" w:space="0" w:color="auto"/>
            </w:tcBorders>
            <w:shd w:val="clear" w:color="000000" w:fill="FFFFFF"/>
            <w:noWrap/>
            <w:vAlign w:val="center"/>
            <w:hideMark/>
          </w:tcPr>
          <w:p w14:paraId="27FD3D54"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69A7D3A"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145DFD35" w14:textId="5DB0E7DD"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r w:rsidR="00D077E6"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74C783D6"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1.1.4</w:t>
            </w:r>
          </w:p>
        </w:tc>
        <w:tc>
          <w:tcPr>
            <w:tcW w:w="8395" w:type="dxa"/>
            <w:tcBorders>
              <w:top w:val="nil"/>
              <w:left w:val="nil"/>
              <w:bottom w:val="single" w:sz="4" w:space="0" w:color="auto"/>
              <w:right w:val="single" w:sz="4" w:space="0" w:color="auto"/>
            </w:tcBorders>
            <w:shd w:val="clear" w:color="000000" w:fill="FFFFFF"/>
            <w:vAlign w:val="center"/>
            <w:hideMark/>
          </w:tcPr>
          <w:p w14:paraId="2519A1AE"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Lei Geral de Proteção de Dados Pessoais (LGPD - Lei nº 13.709, de 2018).</w:t>
            </w:r>
          </w:p>
        </w:tc>
        <w:tc>
          <w:tcPr>
            <w:tcW w:w="1139" w:type="dxa"/>
            <w:tcBorders>
              <w:top w:val="nil"/>
              <w:left w:val="nil"/>
              <w:bottom w:val="single" w:sz="4" w:space="0" w:color="auto"/>
              <w:right w:val="single" w:sz="4" w:space="0" w:color="auto"/>
            </w:tcBorders>
            <w:shd w:val="clear" w:color="000000" w:fill="FFFFFF"/>
            <w:noWrap/>
            <w:vAlign w:val="center"/>
            <w:hideMark/>
          </w:tcPr>
          <w:p w14:paraId="635C4A4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1066B22E"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4FC3087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08279FE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1.2</w:t>
            </w:r>
          </w:p>
        </w:tc>
        <w:tc>
          <w:tcPr>
            <w:tcW w:w="8395" w:type="dxa"/>
            <w:tcBorders>
              <w:top w:val="nil"/>
              <w:left w:val="nil"/>
              <w:bottom w:val="single" w:sz="4" w:space="0" w:color="auto"/>
              <w:right w:val="single" w:sz="4" w:space="0" w:color="auto"/>
            </w:tcBorders>
            <w:shd w:val="clear" w:color="000000" w:fill="FFFFFF"/>
            <w:vAlign w:val="center"/>
            <w:hideMark/>
          </w:tcPr>
          <w:p w14:paraId="732D69DB"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 plano de ação e resposta a incidentes do participante deve contemplar as APIs de Open Banking, de acordo com a regulamentação vigente.</w:t>
            </w:r>
          </w:p>
        </w:tc>
        <w:tc>
          <w:tcPr>
            <w:tcW w:w="1139" w:type="dxa"/>
            <w:tcBorders>
              <w:top w:val="nil"/>
              <w:left w:val="nil"/>
              <w:bottom w:val="single" w:sz="4" w:space="0" w:color="auto"/>
              <w:right w:val="single" w:sz="4" w:space="0" w:color="auto"/>
            </w:tcBorders>
            <w:shd w:val="clear" w:color="000000" w:fill="FFFFFF"/>
            <w:noWrap/>
            <w:vAlign w:val="center"/>
            <w:hideMark/>
          </w:tcPr>
          <w:p w14:paraId="3042DEB6"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1DF22586"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4ECE3BD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58D9A81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1.3</w:t>
            </w:r>
          </w:p>
        </w:tc>
        <w:tc>
          <w:tcPr>
            <w:tcW w:w="8395" w:type="dxa"/>
            <w:tcBorders>
              <w:top w:val="nil"/>
              <w:left w:val="nil"/>
              <w:bottom w:val="single" w:sz="4" w:space="0" w:color="auto"/>
              <w:right w:val="single" w:sz="4" w:space="0" w:color="auto"/>
            </w:tcBorders>
            <w:shd w:val="clear" w:color="000000" w:fill="FFFFFF"/>
            <w:vAlign w:val="center"/>
            <w:hideMark/>
          </w:tcPr>
          <w:p w14:paraId="3112CBDB"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Monitorar e garantir que os terceiros contratados pelas instituições participantes do ecossistema implementem regras e boas práticas fazendo parte do plano de resposta a incidentes da instituição, de acordo com a regulamentação vigente.</w:t>
            </w:r>
          </w:p>
        </w:tc>
        <w:tc>
          <w:tcPr>
            <w:tcW w:w="1139" w:type="dxa"/>
            <w:tcBorders>
              <w:top w:val="nil"/>
              <w:left w:val="nil"/>
              <w:bottom w:val="single" w:sz="4" w:space="0" w:color="auto"/>
              <w:right w:val="single" w:sz="4" w:space="0" w:color="auto"/>
            </w:tcBorders>
            <w:shd w:val="clear" w:color="000000" w:fill="FFFFFF"/>
            <w:noWrap/>
            <w:vAlign w:val="center"/>
            <w:hideMark/>
          </w:tcPr>
          <w:p w14:paraId="3923654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43641B4" w14:textId="77777777" w:rsidTr="00A9519A">
        <w:trPr>
          <w:trHeight w:val="112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D964464"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38CAB1C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1.4</w:t>
            </w:r>
          </w:p>
        </w:tc>
        <w:tc>
          <w:tcPr>
            <w:tcW w:w="8395" w:type="dxa"/>
            <w:tcBorders>
              <w:top w:val="nil"/>
              <w:left w:val="nil"/>
              <w:bottom w:val="single" w:sz="4" w:space="0" w:color="auto"/>
              <w:right w:val="single" w:sz="4" w:space="0" w:color="auto"/>
            </w:tcBorders>
            <w:shd w:val="clear" w:color="000000" w:fill="FFFFFF"/>
            <w:vAlign w:val="center"/>
            <w:hideMark/>
          </w:tcPr>
          <w:p w14:paraId="531400E1"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participantes do ecossistema Open Banking devem garantir que os terceiros, especialmente os prestadores de serviços, cumpram toda a legislação e regulamentação aplicável sobre Segurança da Informação, privacidade e proteção de dados.</w:t>
            </w:r>
          </w:p>
        </w:tc>
        <w:tc>
          <w:tcPr>
            <w:tcW w:w="1139" w:type="dxa"/>
            <w:tcBorders>
              <w:top w:val="nil"/>
              <w:left w:val="nil"/>
              <w:bottom w:val="single" w:sz="4" w:space="0" w:color="auto"/>
              <w:right w:val="single" w:sz="4" w:space="0" w:color="auto"/>
            </w:tcBorders>
            <w:shd w:val="clear" w:color="000000" w:fill="FFFFFF"/>
            <w:noWrap/>
            <w:vAlign w:val="center"/>
            <w:hideMark/>
          </w:tcPr>
          <w:p w14:paraId="417297C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1FE9CC85"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1083730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w:t>
            </w:r>
          </w:p>
        </w:tc>
        <w:tc>
          <w:tcPr>
            <w:tcW w:w="810" w:type="dxa"/>
            <w:tcBorders>
              <w:top w:val="nil"/>
              <w:left w:val="nil"/>
              <w:bottom w:val="single" w:sz="4" w:space="0" w:color="auto"/>
              <w:right w:val="single" w:sz="4" w:space="0" w:color="auto"/>
            </w:tcBorders>
            <w:shd w:val="clear" w:color="000000" w:fill="FFFFFF"/>
            <w:noWrap/>
            <w:vAlign w:val="center"/>
            <w:hideMark/>
          </w:tcPr>
          <w:p w14:paraId="1DDFB45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1.5</w:t>
            </w:r>
          </w:p>
        </w:tc>
        <w:tc>
          <w:tcPr>
            <w:tcW w:w="8395" w:type="dxa"/>
            <w:tcBorders>
              <w:top w:val="nil"/>
              <w:left w:val="nil"/>
              <w:bottom w:val="single" w:sz="4" w:space="0" w:color="auto"/>
              <w:right w:val="single" w:sz="4" w:space="0" w:color="auto"/>
            </w:tcBorders>
            <w:shd w:val="clear" w:color="000000" w:fill="FFFFFF"/>
            <w:vAlign w:val="center"/>
            <w:hideMark/>
          </w:tcPr>
          <w:p w14:paraId="2A158827"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dados devem ser armazenados de acordo com o propósito e consentimento obtido e descartados de maneira segura após o término de sua finalidade e consentimento. Recomendações: NIST 800-88, DOD 5220.22-M.</w:t>
            </w:r>
          </w:p>
        </w:tc>
        <w:tc>
          <w:tcPr>
            <w:tcW w:w="1139" w:type="dxa"/>
            <w:tcBorders>
              <w:top w:val="nil"/>
              <w:left w:val="nil"/>
              <w:bottom w:val="single" w:sz="4" w:space="0" w:color="auto"/>
              <w:right w:val="single" w:sz="4" w:space="0" w:color="auto"/>
            </w:tcBorders>
            <w:shd w:val="clear" w:color="000000" w:fill="FFFFFF"/>
            <w:noWrap/>
            <w:vAlign w:val="center"/>
            <w:hideMark/>
          </w:tcPr>
          <w:p w14:paraId="17151C4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197CB714"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AEAAAA"/>
            <w:noWrap/>
            <w:vAlign w:val="center"/>
            <w:hideMark/>
          </w:tcPr>
          <w:p w14:paraId="6757DB29" w14:textId="77777777" w:rsidR="007428BC" w:rsidRPr="007428BC" w:rsidRDefault="007428BC" w:rsidP="007428BC">
            <w:pPr>
              <w:spacing w:after="0" w:line="240" w:lineRule="auto"/>
              <w:jc w:val="center"/>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lastRenderedPageBreak/>
              <w:t>2</w:t>
            </w:r>
          </w:p>
        </w:tc>
        <w:tc>
          <w:tcPr>
            <w:tcW w:w="810" w:type="dxa"/>
            <w:tcBorders>
              <w:top w:val="nil"/>
              <w:left w:val="nil"/>
              <w:bottom w:val="single" w:sz="4" w:space="0" w:color="auto"/>
              <w:right w:val="single" w:sz="4" w:space="0" w:color="auto"/>
            </w:tcBorders>
            <w:shd w:val="clear" w:color="000000" w:fill="AEAAAA"/>
            <w:noWrap/>
            <w:vAlign w:val="center"/>
            <w:hideMark/>
          </w:tcPr>
          <w:p w14:paraId="307FB3B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c>
          <w:tcPr>
            <w:tcW w:w="8395" w:type="dxa"/>
            <w:tcBorders>
              <w:top w:val="nil"/>
              <w:left w:val="nil"/>
              <w:bottom w:val="single" w:sz="4" w:space="0" w:color="auto"/>
              <w:right w:val="single" w:sz="4" w:space="0" w:color="auto"/>
            </w:tcBorders>
            <w:shd w:val="clear" w:color="000000" w:fill="AEAAAA"/>
            <w:noWrap/>
            <w:vAlign w:val="center"/>
            <w:hideMark/>
          </w:tcPr>
          <w:p w14:paraId="2E1E9567" w14:textId="77777777" w:rsidR="007428BC" w:rsidRPr="007428BC" w:rsidRDefault="007428BC" w:rsidP="007428BC">
            <w:pPr>
              <w:spacing w:after="0" w:line="240" w:lineRule="auto"/>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Proteção</w:t>
            </w:r>
          </w:p>
        </w:tc>
        <w:tc>
          <w:tcPr>
            <w:tcW w:w="1139" w:type="dxa"/>
            <w:tcBorders>
              <w:top w:val="nil"/>
              <w:left w:val="nil"/>
              <w:bottom w:val="single" w:sz="4" w:space="0" w:color="auto"/>
              <w:right w:val="single" w:sz="4" w:space="0" w:color="auto"/>
            </w:tcBorders>
            <w:shd w:val="clear" w:color="000000" w:fill="AEAAAA"/>
            <w:vAlign w:val="center"/>
            <w:hideMark/>
          </w:tcPr>
          <w:p w14:paraId="6656580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830A328"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088314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63D6BD9D"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w:t>
            </w:r>
          </w:p>
        </w:tc>
        <w:tc>
          <w:tcPr>
            <w:tcW w:w="8395" w:type="dxa"/>
            <w:tcBorders>
              <w:top w:val="nil"/>
              <w:left w:val="nil"/>
              <w:bottom w:val="single" w:sz="4" w:space="0" w:color="auto"/>
              <w:right w:val="single" w:sz="4" w:space="0" w:color="auto"/>
            </w:tcBorders>
            <w:shd w:val="clear" w:color="000000" w:fill="FFFFFF"/>
            <w:vAlign w:val="center"/>
            <w:hideMark/>
          </w:tcPr>
          <w:p w14:paraId="40352DEA"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 acesso aos dados no âmbito do Open Banking deve ser realizado exclusivamente por meio de APIs.</w:t>
            </w:r>
          </w:p>
        </w:tc>
        <w:tc>
          <w:tcPr>
            <w:tcW w:w="1139" w:type="dxa"/>
            <w:tcBorders>
              <w:top w:val="nil"/>
              <w:left w:val="nil"/>
              <w:bottom w:val="single" w:sz="4" w:space="0" w:color="auto"/>
              <w:right w:val="single" w:sz="4" w:space="0" w:color="auto"/>
            </w:tcBorders>
            <w:shd w:val="clear" w:color="000000" w:fill="FFFFFF"/>
            <w:noWrap/>
            <w:vAlign w:val="center"/>
            <w:hideMark/>
          </w:tcPr>
          <w:p w14:paraId="532F49D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4CA1BCC"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5CF01E8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02CF271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2.2</w:t>
            </w:r>
          </w:p>
        </w:tc>
        <w:tc>
          <w:tcPr>
            <w:tcW w:w="8395" w:type="dxa"/>
            <w:tcBorders>
              <w:top w:val="nil"/>
              <w:left w:val="nil"/>
              <w:bottom w:val="single" w:sz="4" w:space="0" w:color="auto"/>
              <w:right w:val="single" w:sz="4" w:space="0" w:color="auto"/>
            </w:tcBorders>
            <w:shd w:val="clear" w:color="000000" w:fill="FFFFFF"/>
            <w:vAlign w:val="center"/>
            <w:hideMark/>
          </w:tcPr>
          <w:p w14:paraId="601A4F60"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sistemas e APIs relacionados ao Open Banking devem ser mantidos em rede interna segregada logicamente de redes ordinariamente utilizadas por estações de trabalho ou redes sem fio.</w:t>
            </w:r>
          </w:p>
        </w:tc>
        <w:tc>
          <w:tcPr>
            <w:tcW w:w="1139" w:type="dxa"/>
            <w:tcBorders>
              <w:top w:val="nil"/>
              <w:left w:val="nil"/>
              <w:bottom w:val="single" w:sz="4" w:space="0" w:color="auto"/>
              <w:right w:val="single" w:sz="4" w:space="0" w:color="auto"/>
            </w:tcBorders>
            <w:shd w:val="clear" w:color="000000" w:fill="FFFFFF"/>
            <w:noWrap/>
            <w:vAlign w:val="center"/>
            <w:hideMark/>
          </w:tcPr>
          <w:p w14:paraId="6C64096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0DDCD260" w14:textId="77777777" w:rsidTr="00A9519A">
        <w:trPr>
          <w:trHeight w:val="112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899375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58ED5428"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2.3</w:t>
            </w:r>
          </w:p>
        </w:tc>
        <w:tc>
          <w:tcPr>
            <w:tcW w:w="8395" w:type="dxa"/>
            <w:tcBorders>
              <w:top w:val="nil"/>
              <w:left w:val="nil"/>
              <w:bottom w:val="single" w:sz="4" w:space="0" w:color="auto"/>
              <w:right w:val="single" w:sz="4" w:space="0" w:color="auto"/>
            </w:tcBorders>
            <w:shd w:val="clear" w:color="000000" w:fill="FFFFFF"/>
            <w:vAlign w:val="center"/>
            <w:hideMark/>
          </w:tcPr>
          <w:p w14:paraId="23C261EB"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transmissoras de dados devem implementar controles de tráfego de entrada e saída, de forma a permitir apenas o tráfego necessário para comunicação com as APIs de Open Banking. Exemplos de controles: firewalls, listas de controle de acesso (</w:t>
            </w:r>
            <w:proofErr w:type="spellStart"/>
            <w:r w:rsidRPr="007428BC">
              <w:rPr>
                <w:rFonts w:ascii="Arial" w:eastAsia="Times New Roman" w:hAnsi="Arial" w:cs="Arial"/>
                <w:color w:val="000000"/>
                <w:lang w:eastAsia="pt-BR" w:bidi="kn-IN"/>
              </w:rPr>
              <w:t>ACLs</w:t>
            </w:r>
            <w:proofErr w:type="spellEnd"/>
            <w:r w:rsidRPr="007428BC">
              <w:rPr>
                <w:rFonts w:ascii="Arial" w:eastAsia="Times New Roman" w:hAnsi="Arial" w:cs="Arial"/>
                <w:color w:val="000000"/>
                <w:lang w:eastAsia="pt-BR" w:bidi="kn-IN"/>
              </w:rPr>
              <w:t>) e grupos de segurança (</w:t>
            </w:r>
            <w:proofErr w:type="spellStart"/>
            <w:r w:rsidRPr="007428BC">
              <w:rPr>
                <w:rFonts w:ascii="Arial" w:eastAsia="Times New Roman" w:hAnsi="Arial" w:cs="Arial"/>
                <w:color w:val="000000"/>
                <w:lang w:eastAsia="pt-BR" w:bidi="kn-IN"/>
              </w:rPr>
              <w:t>security</w:t>
            </w:r>
            <w:proofErr w:type="spellEnd"/>
            <w:r w:rsidRPr="007428BC">
              <w:rPr>
                <w:rFonts w:ascii="Arial" w:eastAsia="Times New Roman" w:hAnsi="Arial" w:cs="Arial"/>
                <w:color w:val="000000"/>
                <w:lang w:eastAsia="pt-BR" w:bidi="kn-IN"/>
              </w:rPr>
              <w:t xml:space="preserve"> </w:t>
            </w:r>
            <w:proofErr w:type="spellStart"/>
            <w:r w:rsidRPr="007428BC">
              <w:rPr>
                <w:rFonts w:ascii="Arial" w:eastAsia="Times New Roman" w:hAnsi="Arial" w:cs="Arial"/>
                <w:color w:val="000000"/>
                <w:lang w:eastAsia="pt-BR" w:bidi="kn-IN"/>
              </w:rPr>
              <w:t>groups</w:t>
            </w:r>
            <w:proofErr w:type="spellEnd"/>
            <w:r w:rsidRPr="007428BC">
              <w:rPr>
                <w:rFonts w:ascii="Arial" w:eastAsia="Times New Roman" w:hAnsi="Arial" w:cs="Arial"/>
                <w:color w:val="000000"/>
                <w:lang w:eastAsia="pt-BR" w:bidi="kn-IN"/>
              </w:rPr>
              <w:t>).</w:t>
            </w:r>
          </w:p>
        </w:tc>
        <w:tc>
          <w:tcPr>
            <w:tcW w:w="1139" w:type="dxa"/>
            <w:tcBorders>
              <w:top w:val="nil"/>
              <w:left w:val="nil"/>
              <w:bottom w:val="single" w:sz="4" w:space="0" w:color="auto"/>
              <w:right w:val="single" w:sz="4" w:space="0" w:color="auto"/>
            </w:tcBorders>
            <w:shd w:val="clear" w:color="000000" w:fill="FFFFFF"/>
            <w:noWrap/>
            <w:vAlign w:val="center"/>
            <w:hideMark/>
          </w:tcPr>
          <w:p w14:paraId="7333309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F98B9CF" w14:textId="77777777" w:rsidTr="00A9519A">
        <w:trPr>
          <w:trHeight w:val="112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B7F7088"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130D127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2.4</w:t>
            </w:r>
          </w:p>
        </w:tc>
        <w:tc>
          <w:tcPr>
            <w:tcW w:w="8395" w:type="dxa"/>
            <w:tcBorders>
              <w:top w:val="nil"/>
              <w:left w:val="nil"/>
              <w:bottom w:val="single" w:sz="4" w:space="0" w:color="auto"/>
              <w:right w:val="single" w:sz="4" w:space="0" w:color="auto"/>
            </w:tcBorders>
            <w:shd w:val="clear" w:color="000000" w:fill="FFFFFF"/>
            <w:vAlign w:val="center"/>
            <w:hideMark/>
          </w:tcPr>
          <w:p w14:paraId="7788FE11"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devem implementar criptografia na comunicação com as APIs de Open Banking expostas publicamente, por meio do protocolo TLS na versão 1.2 ou superior, utilizando cifras (</w:t>
            </w:r>
            <w:proofErr w:type="spellStart"/>
            <w:r w:rsidRPr="007428BC">
              <w:rPr>
                <w:rFonts w:ascii="Arial" w:eastAsia="Times New Roman" w:hAnsi="Arial" w:cs="Arial"/>
                <w:color w:val="000000"/>
                <w:lang w:eastAsia="pt-BR" w:bidi="kn-IN"/>
              </w:rPr>
              <w:t>cipher</w:t>
            </w:r>
            <w:proofErr w:type="spellEnd"/>
            <w:r w:rsidRPr="007428BC">
              <w:rPr>
                <w:rFonts w:ascii="Arial" w:eastAsia="Times New Roman" w:hAnsi="Arial" w:cs="Arial"/>
                <w:color w:val="000000"/>
                <w:lang w:eastAsia="pt-BR" w:bidi="kn-IN"/>
              </w:rPr>
              <w:t xml:space="preserve"> </w:t>
            </w:r>
            <w:proofErr w:type="spellStart"/>
            <w:r w:rsidRPr="007428BC">
              <w:rPr>
                <w:rFonts w:ascii="Arial" w:eastAsia="Times New Roman" w:hAnsi="Arial" w:cs="Arial"/>
                <w:color w:val="000000"/>
                <w:lang w:eastAsia="pt-BR" w:bidi="kn-IN"/>
              </w:rPr>
              <w:t>suites</w:t>
            </w:r>
            <w:proofErr w:type="spellEnd"/>
            <w:r w:rsidRPr="007428BC">
              <w:rPr>
                <w:rFonts w:ascii="Arial" w:eastAsia="Times New Roman" w:hAnsi="Arial" w:cs="Arial"/>
                <w:color w:val="000000"/>
                <w:lang w:eastAsia="pt-BR" w:bidi="kn-IN"/>
              </w:rPr>
              <w:t>) que atendam ao requisito de "</w:t>
            </w:r>
            <w:proofErr w:type="spellStart"/>
            <w:r w:rsidRPr="007428BC">
              <w:rPr>
                <w:rFonts w:ascii="Arial" w:eastAsia="Times New Roman" w:hAnsi="Arial" w:cs="Arial"/>
                <w:color w:val="000000"/>
                <w:lang w:eastAsia="pt-BR" w:bidi="kn-IN"/>
              </w:rPr>
              <w:t>perfect</w:t>
            </w:r>
            <w:proofErr w:type="spellEnd"/>
            <w:r w:rsidRPr="007428BC">
              <w:rPr>
                <w:rFonts w:ascii="Arial" w:eastAsia="Times New Roman" w:hAnsi="Arial" w:cs="Arial"/>
                <w:color w:val="000000"/>
                <w:lang w:eastAsia="pt-BR" w:bidi="kn-IN"/>
              </w:rPr>
              <w:t xml:space="preserve"> </w:t>
            </w:r>
            <w:proofErr w:type="spellStart"/>
            <w:r w:rsidRPr="007428BC">
              <w:rPr>
                <w:rFonts w:ascii="Arial" w:eastAsia="Times New Roman" w:hAnsi="Arial" w:cs="Arial"/>
                <w:color w:val="000000"/>
                <w:lang w:eastAsia="pt-BR" w:bidi="kn-IN"/>
              </w:rPr>
              <w:t>forward</w:t>
            </w:r>
            <w:proofErr w:type="spellEnd"/>
            <w:r w:rsidRPr="007428BC">
              <w:rPr>
                <w:rFonts w:ascii="Arial" w:eastAsia="Times New Roman" w:hAnsi="Arial" w:cs="Arial"/>
                <w:color w:val="000000"/>
                <w:lang w:eastAsia="pt-BR" w:bidi="kn-IN"/>
              </w:rPr>
              <w:t xml:space="preserve"> </w:t>
            </w:r>
            <w:proofErr w:type="spellStart"/>
            <w:r w:rsidRPr="007428BC">
              <w:rPr>
                <w:rFonts w:ascii="Arial" w:eastAsia="Times New Roman" w:hAnsi="Arial" w:cs="Arial"/>
                <w:color w:val="000000"/>
                <w:lang w:eastAsia="pt-BR" w:bidi="kn-IN"/>
              </w:rPr>
              <w:t>secrecy</w:t>
            </w:r>
            <w:proofErr w:type="spellEnd"/>
            <w:r w:rsidRPr="007428BC">
              <w:rPr>
                <w:rFonts w:ascii="Arial" w:eastAsia="Times New Roman" w:hAnsi="Arial" w:cs="Arial"/>
                <w:color w:val="000000"/>
                <w:lang w:eastAsia="pt-BR" w:bidi="kn-IN"/>
              </w:rPr>
              <w:t>" (PFS).</w:t>
            </w:r>
          </w:p>
        </w:tc>
        <w:tc>
          <w:tcPr>
            <w:tcW w:w="1139" w:type="dxa"/>
            <w:tcBorders>
              <w:top w:val="nil"/>
              <w:left w:val="nil"/>
              <w:bottom w:val="single" w:sz="4" w:space="0" w:color="auto"/>
              <w:right w:val="single" w:sz="4" w:space="0" w:color="auto"/>
            </w:tcBorders>
            <w:shd w:val="clear" w:color="000000" w:fill="FFFFFF"/>
            <w:noWrap/>
            <w:vAlign w:val="center"/>
            <w:hideMark/>
          </w:tcPr>
          <w:p w14:paraId="5D87D8E5"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2644370C"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11D144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339F34E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2.5</w:t>
            </w:r>
          </w:p>
        </w:tc>
        <w:tc>
          <w:tcPr>
            <w:tcW w:w="8395" w:type="dxa"/>
            <w:tcBorders>
              <w:top w:val="nil"/>
              <w:left w:val="nil"/>
              <w:bottom w:val="single" w:sz="4" w:space="0" w:color="auto"/>
              <w:right w:val="single" w:sz="4" w:space="0" w:color="auto"/>
            </w:tcBorders>
            <w:shd w:val="clear" w:color="000000" w:fill="FFFFFF"/>
            <w:vAlign w:val="center"/>
            <w:hideMark/>
          </w:tcPr>
          <w:p w14:paraId="7DBDE865"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 xml:space="preserve">As funcionalidades "TLS </w:t>
            </w:r>
            <w:proofErr w:type="spellStart"/>
            <w:r w:rsidRPr="007428BC">
              <w:rPr>
                <w:rFonts w:ascii="Arial" w:eastAsia="Times New Roman" w:hAnsi="Arial" w:cs="Arial"/>
                <w:color w:val="000000"/>
                <w:lang w:eastAsia="pt-BR" w:bidi="kn-IN"/>
              </w:rPr>
              <w:t>Session</w:t>
            </w:r>
            <w:proofErr w:type="spellEnd"/>
            <w:r w:rsidRPr="007428BC">
              <w:rPr>
                <w:rFonts w:ascii="Arial" w:eastAsia="Times New Roman" w:hAnsi="Arial" w:cs="Arial"/>
                <w:color w:val="000000"/>
                <w:lang w:eastAsia="pt-BR" w:bidi="kn-IN"/>
              </w:rPr>
              <w:t xml:space="preserve"> </w:t>
            </w:r>
            <w:proofErr w:type="spellStart"/>
            <w:r w:rsidRPr="007428BC">
              <w:rPr>
                <w:rFonts w:ascii="Arial" w:eastAsia="Times New Roman" w:hAnsi="Arial" w:cs="Arial"/>
                <w:color w:val="000000"/>
                <w:lang w:eastAsia="pt-BR" w:bidi="kn-IN"/>
              </w:rPr>
              <w:t>Resumption</w:t>
            </w:r>
            <w:proofErr w:type="spellEnd"/>
            <w:r w:rsidRPr="007428BC">
              <w:rPr>
                <w:rFonts w:ascii="Arial" w:eastAsia="Times New Roman" w:hAnsi="Arial" w:cs="Arial"/>
                <w:color w:val="000000"/>
                <w:lang w:eastAsia="pt-BR" w:bidi="kn-IN"/>
              </w:rPr>
              <w:t xml:space="preserve">" e "TLS </w:t>
            </w:r>
            <w:proofErr w:type="spellStart"/>
            <w:r w:rsidRPr="007428BC">
              <w:rPr>
                <w:rFonts w:ascii="Arial" w:eastAsia="Times New Roman" w:hAnsi="Arial" w:cs="Arial"/>
                <w:color w:val="000000"/>
                <w:lang w:eastAsia="pt-BR" w:bidi="kn-IN"/>
              </w:rPr>
              <w:t>Renegotiation</w:t>
            </w:r>
            <w:proofErr w:type="spellEnd"/>
            <w:r w:rsidRPr="007428BC">
              <w:rPr>
                <w:rFonts w:ascii="Arial" w:eastAsia="Times New Roman" w:hAnsi="Arial" w:cs="Arial"/>
                <w:color w:val="000000"/>
                <w:lang w:eastAsia="pt-BR" w:bidi="kn-IN"/>
              </w:rPr>
              <w:t>" devem ser desabilitadas.</w:t>
            </w:r>
          </w:p>
        </w:tc>
        <w:tc>
          <w:tcPr>
            <w:tcW w:w="1139" w:type="dxa"/>
            <w:tcBorders>
              <w:top w:val="nil"/>
              <w:left w:val="nil"/>
              <w:bottom w:val="single" w:sz="4" w:space="0" w:color="auto"/>
              <w:right w:val="single" w:sz="4" w:space="0" w:color="auto"/>
            </w:tcBorders>
            <w:shd w:val="clear" w:color="000000" w:fill="FFFFFF"/>
            <w:noWrap/>
            <w:vAlign w:val="center"/>
            <w:hideMark/>
          </w:tcPr>
          <w:p w14:paraId="7989606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5BF8D43"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220082E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08ABA77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2.6</w:t>
            </w:r>
          </w:p>
        </w:tc>
        <w:tc>
          <w:tcPr>
            <w:tcW w:w="8395" w:type="dxa"/>
            <w:tcBorders>
              <w:top w:val="nil"/>
              <w:left w:val="nil"/>
              <w:bottom w:val="single" w:sz="4" w:space="0" w:color="auto"/>
              <w:right w:val="single" w:sz="4" w:space="0" w:color="auto"/>
            </w:tcBorders>
            <w:shd w:val="clear" w:color="000000" w:fill="FFFFFF"/>
            <w:vAlign w:val="center"/>
            <w:hideMark/>
          </w:tcPr>
          <w:p w14:paraId="3C43A917"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devem aplicar controles de segurança na camada de aplicação que permitam a inspeção de ameaças e o bloqueio de ataques de injeção de código, entre outros, adequados às tecnologias utilizadas na API.</w:t>
            </w:r>
          </w:p>
        </w:tc>
        <w:tc>
          <w:tcPr>
            <w:tcW w:w="1139" w:type="dxa"/>
            <w:tcBorders>
              <w:top w:val="nil"/>
              <w:left w:val="nil"/>
              <w:bottom w:val="single" w:sz="4" w:space="0" w:color="auto"/>
              <w:right w:val="single" w:sz="4" w:space="0" w:color="auto"/>
            </w:tcBorders>
            <w:shd w:val="clear" w:color="000000" w:fill="FFFFFF"/>
            <w:noWrap/>
            <w:vAlign w:val="center"/>
            <w:hideMark/>
          </w:tcPr>
          <w:p w14:paraId="0ABAA7AF"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FB5A283"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109B0F05"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279BF7D4"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2.7</w:t>
            </w:r>
          </w:p>
        </w:tc>
        <w:tc>
          <w:tcPr>
            <w:tcW w:w="8395" w:type="dxa"/>
            <w:tcBorders>
              <w:top w:val="nil"/>
              <w:left w:val="nil"/>
              <w:bottom w:val="single" w:sz="4" w:space="0" w:color="auto"/>
              <w:right w:val="single" w:sz="4" w:space="0" w:color="auto"/>
            </w:tcBorders>
            <w:shd w:val="clear" w:color="000000" w:fill="FFFFFF"/>
            <w:vAlign w:val="center"/>
            <w:hideMark/>
          </w:tcPr>
          <w:p w14:paraId="257F3EA8"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não devem expor os repositórios de dados utilizados no Open Banking diretamente à internet.</w:t>
            </w:r>
          </w:p>
        </w:tc>
        <w:tc>
          <w:tcPr>
            <w:tcW w:w="1139" w:type="dxa"/>
            <w:tcBorders>
              <w:top w:val="nil"/>
              <w:left w:val="nil"/>
              <w:bottom w:val="single" w:sz="4" w:space="0" w:color="auto"/>
              <w:right w:val="single" w:sz="4" w:space="0" w:color="auto"/>
            </w:tcBorders>
            <w:shd w:val="clear" w:color="000000" w:fill="FFFFFF"/>
            <w:noWrap/>
            <w:vAlign w:val="center"/>
            <w:hideMark/>
          </w:tcPr>
          <w:p w14:paraId="1D93872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4B62EE49"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6285B46"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4542648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2.8</w:t>
            </w:r>
          </w:p>
        </w:tc>
        <w:tc>
          <w:tcPr>
            <w:tcW w:w="8395" w:type="dxa"/>
            <w:tcBorders>
              <w:top w:val="nil"/>
              <w:left w:val="nil"/>
              <w:bottom w:val="single" w:sz="4" w:space="0" w:color="auto"/>
              <w:right w:val="single" w:sz="4" w:space="0" w:color="auto"/>
            </w:tcBorders>
            <w:shd w:val="clear" w:color="000000" w:fill="FFFFFF"/>
            <w:vAlign w:val="center"/>
            <w:hideMark/>
          </w:tcPr>
          <w:p w14:paraId="1F1819B7"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participantes devem verificar e garantir que os formatos do conteúdo das requisições (</w:t>
            </w:r>
            <w:proofErr w:type="spellStart"/>
            <w:r w:rsidRPr="007428BC">
              <w:rPr>
                <w:rFonts w:ascii="Arial" w:eastAsia="Times New Roman" w:hAnsi="Arial" w:cs="Arial"/>
                <w:color w:val="000000"/>
                <w:lang w:eastAsia="pt-BR" w:bidi="kn-IN"/>
              </w:rPr>
              <w:t>schemas</w:t>
            </w:r>
            <w:proofErr w:type="spellEnd"/>
            <w:r w:rsidRPr="007428BC">
              <w:rPr>
                <w:rFonts w:ascii="Arial" w:eastAsia="Times New Roman" w:hAnsi="Arial" w:cs="Arial"/>
                <w:color w:val="000000"/>
                <w:lang w:eastAsia="pt-BR" w:bidi="kn-IN"/>
              </w:rPr>
              <w:t>) estejam de acordo com aqueles estabelecidos pelas definições de Open Banking.</w:t>
            </w:r>
          </w:p>
        </w:tc>
        <w:tc>
          <w:tcPr>
            <w:tcW w:w="1139" w:type="dxa"/>
            <w:tcBorders>
              <w:top w:val="nil"/>
              <w:left w:val="nil"/>
              <w:bottom w:val="single" w:sz="4" w:space="0" w:color="auto"/>
              <w:right w:val="single" w:sz="4" w:space="0" w:color="auto"/>
            </w:tcBorders>
            <w:shd w:val="clear" w:color="000000" w:fill="FFFFFF"/>
            <w:noWrap/>
            <w:vAlign w:val="center"/>
            <w:hideMark/>
          </w:tcPr>
          <w:p w14:paraId="7A9F469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425C7FD7" w14:textId="77777777" w:rsidTr="00A9519A">
        <w:trPr>
          <w:trHeight w:val="168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2D5C369F"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45A82BE8"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2.9</w:t>
            </w:r>
          </w:p>
        </w:tc>
        <w:tc>
          <w:tcPr>
            <w:tcW w:w="8395" w:type="dxa"/>
            <w:tcBorders>
              <w:top w:val="nil"/>
              <w:left w:val="nil"/>
              <w:bottom w:val="single" w:sz="4" w:space="0" w:color="auto"/>
              <w:right w:val="single" w:sz="4" w:space="0" w:color="auto"/>
            </w:tcBorders>
            <w:shd w:val="clear" w:color="000000" w:fill="FFFFFF"/>
            <w:vAlign w:val="center"/>
            <w:hideMark/>
          </w:tcPr>
          <w:p w14:paraId="5FA93B52"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 xml:space="preserve">No âmbito do Open Banking Brasil, para a comunicação segura entre as APIs e assinatura de mensagens, devem ser utilizados certificados digitais válidos e emitidos por autoridade certificadora participante da ICP-Brasil de acordo com os padrões para certificação digital definidos na área do desenvolvedor do Portal do Open Banking Brasil, seja para proteção dos canais de comunicação seja para assinatura ou criptografia de mensagens trocadas em </w:t>
            </w:r>
            <w:proofErr w:type="spellStart"/>
            <w:r w:rsidRPr="007428BC">
              <w:rPr>
                <w:rFonts w:ascii="Arial" w:eastAsia="Times New Roman" w:hAnsi="Arial" w:cs="Arial"/>
                <w:color w:val="000000"/>
                <w:lang w:eastAsia="pt-BR" w:bidi="kn-IN"/>
              </w:rPr>
              <w:t>API´s</w:t>
            </w:r>
            <w:proofErr w:type="spellEnd"/>
            <w:r w:rsidRPr="007428BC">
              <w:rPr>
                <w:rFonts w:ascii="Arial" w:eastAsia="Times New Roman" w:hAnsi="Arial" w:cs="Arial"/>
                <w:color w:val="000000"/>
                <w:lang w:eastAsia="pt-BR" w:bidi="kn-IN"/>
              </w:rPr>
              <w:t>.</w:t>
            </w:r>
          </w:p>
        </w:tc>
        <w:tc>
          <w:tcPr>
            <w:tcW w:w="1139" w:type="dxa"/>
            <w:tcBorders>
              <w:top w:val="nil"/>
              <w:left w:val="nil"/>
              <w:bottom w:val="single" w:sz="4" w:space="0" w:color="auto"/>
              <w:right w:val="single" w:sz="4" w:space="0" w:color="auto"/>
            </w:tcBorders>
            <w:shd w:val="clear" w:color="000000" w:fill="FFFFFF"/>
            <w:noWrap/>
            <w:vAlign w:val="center"/>
            <w:hideMark/>
          </w:tcPr>
          <w:p w14:paraId="7A55A30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70576329"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71A1206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4D655D05"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2.9.1</w:t>
            </w:r>
          </w:p>
        </w:tc>
        <w:tc>
          <w:tcPr>
            <w:tcW w:w="8395" w:type="dxa"/>
            <w:tcBorders>
              <w:top w:val="nil"/>
              <w:left w:val="nil"/>
              <w:bottom w:val="single" w:sz="4" w:space="0" w:color="auto"/>
              <w:right w:val="single" w:sz="4" w:space="0" w:color="auto"/>
            </w:tcBorders>
            <w:shd w:val="clear" w:color="000000" w:fill="FFFFFF"/>
            <w:vAlign w:val="center"/>
            <w:hideMark/>
          </w:tcPr>
          <w:p w14:paraId="44AE72D7"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Em caráter de exceção, durante a fase de implementação, será tolerado o uso de certificados digitais emitidos pelo serviço de Diretório.</w:t>
            </w:r>
          </w:p>
        </w:tc>
        <w:tc>
          <w:tcPr>
            <w:tcW w:w="1139" w:type="dxa"/>
            <w:tcBorders>
              <w:top w:val="nil"/>
              <w:left w:val="nil"/>
              <w:bottom w:val="single" w:sz="4" w:space="0" w:color="auto"/>
              <w:right w:val="single" w:sz="4" w:space="0" w:color="auto"/>
            </w:tcBorders>
            <w:shd w:val="clear" w:color="000000" w:fill="FFFFFF"/>
            <w:noWrap/>
            <w:vAlign w:val="center"/>
            <w:hideMark/>
          </w:tcPr>
          <w:p w14:paraId="73787CC4"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7D72C26"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38414C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5D1D098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2.9.2</w:t>
            </w:r>
          </w:p>
        </w:tc>
        <w:tc>
          <w:tcPr>
            <w:tcW w:w="8395" w:type="dxa"/>
            <w:tcBorders>
              <w:top w:val="nil"/>
              <w:left w:val="nil"/>
              <w:bottom w:val="single" w:sz="4" w:space="0" w:color="auto"/>
              <w:right w:val="single" w:sz="4" w:space="0" w:color="auto"/>
            </w:tcBorders>
            <w:shd w:val="clear" w:color="000000" w:fill="FFFFFF"/>
            <w:vAlign w:val="center"/>
            <w:hideMark/>
          </w:tcPr>
          <w:p w14:paraId="3E026817"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 disposto no caput é aplicável, no que couber, aos certificados requeridos para contratações de parceria para fins de compartilhamento de dados previstas na regulamentação em vigor.</w:t>
            </w:r>
          </w:p>
        </w:tc>
        <w:tc>
          <w:tcPr>
            <w:tcW w:w="1139" w:type="dxa"/>
            <w:tcBorders>
              <w:top w:val="nil"/>
              <w:left w:val="nil"/>
              <w:bottom w:val="single" w:sz="4" w:space="0" w:color="auto"/>
              <w:right w:val="single" w:sz="4" w:space="0" w:color="auto"/>
            </w:tcBorders>
            <w:shd w:val="clear" w:color="000000" w:fill="FFFFFF"/>
            <w:noWrap/>
            <w:vAlign w:val="center"/>
            <w:hideMark/>
          </w:tcPr>
          <w:p w14:paraId="7D60061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7A9C32D3" w14:textId="77777777" w:rsidTr="00A9519A">
        <w:trPr>
          <w:trHeight w:val="112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44C58ED6"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6A058A3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2.10</w:t>
            </w:r>
          </w:p>
        </w:tc>
        <w:tc>
          <w:tcPr>
            <w:tcW w:w="8395" w:type="dxa"/>
            <w:tcBorders>
              <w:top w:val="nil"/>
              <w:left w:val="nil"/>
              <w:bottom w:val="single" w:sz="4" w:space="0" w:color="auto"/>
              <w:right w:val="single" w:sz="4" w:space="0" w:color="auto"/>
            </w:tcBorders>
            <w:shd w:val="clear" w:color="000000" w:fill="FFFFFF"/>
            <w:vAlign w:val="center"/>
            <w:hideMark/>
          </w:tcPr>
          <w:p w14:paraId="719393ED"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 xml:space="preserve">Para o estabelecimento de conexões TLS das chamadas de </w:t>
            </w:r>
            <w:proofErr w:type="spellStart"/>
            <w:r w:rsidRPr="007428BC">
              <w:rPr>
                <w:rFonts w:ascii="Arial" w:eastAsia="Times New Roman" w:hAnsi="Arial" w:cs="Arial"/>
                <w:color w:val="000000"/>
                <w:lang w:eastAsia="pt-BR" w:bidi="kn-IN"/>
              </w:rPr>
              <w:t>endpoints</w:t>
            </w:r>
            <w:proofErr w:type="spellEnd"/>
            <w:r w:rsidRPr="007428BC">
              <w:rPr>
                <w:rFonts w:ascii="Arial" w:eastAsia="Times New Roman" w:hAnsi="Arial" w:cs="Arial"/>
                <w:color w:val="000000"/>
                <w:lang w:eastAsia="pt-BR" w:bidi="kn-IN"/>
              </w:rPr>
              <w:t xml:space="preserve"> confidenciais devem ser utilizados os algoritmos TLS_ECDHE_RSA_WITH_AES_128_GCM_SHA256 e TLS_ECDHE_RSA_WITH_AES_256_GCM_SHA384.</w:t>
            </w:r>
          </w:p>
        </w:tc>
        <w:tc>
          <w:tcPr>
            <w:tcW w:w="1139" w:type="dxa"/>
            <w:tcBorders>
              <w:top w:val="nil"/>
              <w:left w:val="nil"/>
              <w:bottom w:val="single" w:sz="4" w:space="0" w:color="auto"/>
              <w:right w:val="single" w:sz="4" w:space="0" w:color="auto"/>
            </w:tcBorders>
            <w:shd w:val="clear" w:color="000000" w:fill="FFFFFF"/>
            <w:noWrap/>
            <w:vAlign w:val="center"/>
            <w:hideMark/>
          </w:tcPr>
          <w:p w14:paraId="459EDD4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0FD9607"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5556CBC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7DD46655"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2.11</w:t>
            </w:r>
          </w:p>
        </w:tc>
        <w:tc>
          <w:tcPr>
            <w:tcW w:w="8395" w:type="dxa"/>
            <w:tcBorders>
              <w:top w:val="nil"/>
              <w:left w:val="nil"/>
              <w:bottom w:val="single" w:sz="4" w:space="0" w:color="auto"/>
              <w:right w:val="single" w:sz="4" w:space="0" w:color="auto"/>
            </w:tcBorders>
            <w:shd w:val="clear" w:color="000000" w:fill="FFFFFF"/>
            <w:vAlign w:val="center"/>
            <w:hideMark/>
          </w:tcPr>
          <w:p w14:paraId="5866D14D"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certificados utilizados para comunicação de sistemas Front-</w:t>
            </w:r>
            <w:proofErr w:type="spellStart"/>
            <w:r w:rsidRPr="007428BC">
              <w:rPr>
                <w:rFonts w:ascii="Arial" w:eastAsia="Times New Roman" w:hAnsi="Arial" w:cs="Arial"/>
                <w:color w:val="000000"/>
                <w:lang w:eastAsia="pt-BR" w:bidi="kn-IN"/>
              </w:rPr>
              <w:t>End</w:t>
            </w:r>
            <w:proofErr w:type="spellEnd"/>
            <w:r w:rsidRPr="007428BC">
              <w:rPr>
                <w:rFonts w:ascii="Arial" w:eastAsia="Times New Roman" w:hAnsi="Arial" w:cs="Arial"/>
                <w:color w:val="000000"/>
                <w:lang w:eastAsia="pt-BR" w:bidi="kn-IN"/>
              </w:rPr>
              <w:t>, acessados diretamente por usuários, em especial para realizar autenticação de usuários devem ser do tipo EV e podem ser emitidos por Autoridade Certificadora válida de mercado.</w:t>
            </w:r>
          </w:p>
        </w:tc>
        <w:tc>
          <w:tcPr>
            <w:tcW w:w="1139" w:type="dxa"/>
            <w:tcBorders>
              <w:top w:val="nil"/>
              <w:left w:val="nil"/>
              <w:bottom w:val="single" w:sz="4" w:space="0" w:color="auto"/>
              <w:right w:val="single" w:sz="4" w:space="0" w:color="auto"/>
            </w:tcBorders>
            <w:shd w:val="clear" w:color="000000" w:fill="FFFFFF"/>
            <w:noWrap/>
            <w:vAlign w:val="center"/>
            <w:hideMark/>
          </w:tcPr>
          <w:p w14:paraId="7B784BB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140A90CC" w14:textId="77777777" w:rsidTr="00A9519A">
        <w:trPr>
          <w:trHeight w:val="140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2B716FC6"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39D9C19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2.12</w:t>
            </w:r>
          </w:p>
        </w:tc>
        <w:tc>
          <w:tcPr>
            <w:tcW w:w="8395" w:type="dxa"/>
            <w:tcBorders>
              <w:top w:val="nil"/>
              <w:left w:val="nil"/>
              <w:bottom w:val="single" w:sz="4" w:space="0" w:color="auto"/>
              <w:right w:val="single" w:sz="4" w:space="0" w:color="auto"/>
            </w:tcBorders>
            <w:shd w:val="clear" w:color="000000" w:fill="FFFFFF"/>
            <w:vAlign w:val="center"/>
            <w:hideMark/>
          </w:tcPr>
          <w:p w14:paraId="71E59732"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 xml:space="preserve">Qualquer segredo ou chave devera possuir meios seguros de armazenamento, transferência, utilização e destruição para que se possa garantir toda a integridade e confidencialidade da informação que está sendo utilizada. Como exemplo, mas não se limitando a: </w:t>
            </w:r>
            <w:proofErr w:type="spellStart"/>
            <w:r w:rsidRPr="007428BC">
              <w:rPr>
                <w:rFonts w:ascii="Arial" w:eastAsia="Times New Roman" w:hAnsi="Arial" w:cs="Arial"/>
                <w:color w:val="000000"/>
                <w:lang w:eastAsia="pt-BR" w:bidi="kn-IN"/>
              </w:rPr>
              <w:t>refresh</w:t>
            </w:r>
            <w:proofErr w:type="spellEnd"/>
            <w:r w:rsidRPr="007428BC">
              <w:rPr>
                <w:rFonts w:ascii="Arial" w:eastAsia="Times New Roman" w:hAnsi="Arial" w:cs="Arial"/>
                <w:color w:val="000000"/>
                <w:lang w:eastAsia="pt-BR" w:bidi="kn-IN"/>
              </w:rPr>
              <w:t xml:space="preserve"> token, chaves privadas e outros, observada a regulamentação em vigor.</w:t>
            </w:r>
          </w:p>
        </w:tc>
        <w:tc>
          <w:tcPr>
            <w:tcW w:w="1139" w:type="dxa"/>
            <w:tcBorders>
              <w:top w:val="nil"/>
              <w:left w:val="nil"/>
              <w:bottom w:val="single" w:sz="4" w:space="0" w:color="auto"/>
              <w:right w:val="single" w:sz="4" w:space="0" w:color="auto"/>
            </w:tcBorders>
            <w:shd w:val="clear" w:color="000000" w:fill="FFFFFF"/>
            <w:noWrap/>
            <w:vAlign w:val="center"/>
            <w:hideMark/>
          </w:tcPr>
          <w:p w14:paraId="0FE6605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C945AAE"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7461958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lastRenderedPageBreak/>
              <w:t>2</w:t>
            </w:r>
          </w:p>
        </w:tc>
        <w:tc>
          <w:tcPr>
            <w:tcW w:w="810" w:type="dxa"/>
            <w:tcBorders>
              <w:top w:val="nil"/>
              <w:left w:val="nil"/>
              <w:bottom w:val="single" w:sz="4" w:space="0" w:color="auto"/>
              <w:right w:val="single" w:sz="4" w:space="0" w:color="auto"/>
            </w:tcBorders>
            <w:shd w:val="clear" w:color="000000" w:fill="FFFFFF"/>
            <w:noWrap/>
            <w:vAlign w:val="center"/>
            <w:hideMark/>
          </w:tcPr>
          <w:p w14:paraId="5EB18D4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2.13</w:t>
            </w:r>
          </w:p>
        </w:tc>
        <w:tc>
          <w:tcPr>
            <w:tcW w:w="8395" w:type="dxa"/>
            <w:tcBorders>
              <w:top w:val="nil"/>
              <w:left w:val="nil"/>
              <w:bottom w:val="single" w:sz="4" w:space="0" w:color="auto"/>
              <w:right w:val="single" w:sz="4" w:space="0" w:color="auto"/>
            </w:tcBorders>
            <w:shd w:val="clear" w:color="000000" w:fill="FFFFFF"/>
            <w:vAlign w:val="center"/>
            <w:hideMark/>
          </w:tcPr>
          <w:p w14:paraId="5C8653D5"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Caso seja feito uso de algoritmos criptográficos para proteção e armazenamento de segredos, recomendando-se: AES-256bits ou superior, SHA-256bits ou superior, RSA-2048bits ou superior.</w:t>
            </w:r>
          </w:p>
        </w:tc>
        <w:tc>
          <w:tcPr>
            <w:tcW w:w="1139" w:type="dxa"/>
            <w:tcBorders>
              <w:top w:val="nil"/>
              <w:left w:val="nil"/>
              <w:bottom w:val="single" w:sz="4" w:space="0" w:color="auto"/>
              <w:right w:val="single" w:sz="4" w:space="0" w:color="auto"/>
            </w:tcBorders>
            <w:shd w:val="clear" w:color="000000" w:fill="FFFFFF"/>
            <w:noWrap/>
            <w:vAlign w:val="center"/>
            <w:hideMark/>
          </w:tcPr>
          <w:p w14:paraId="284AE73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1DBB4F5E" w14:textId="77777777" w:rsidTr="00A9519A">
        <w:trPr>
          <w:trHeight w:val="112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4267A62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1D5E9B1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2.14</w:t>
            </w:r>
          </w:p>
        </w:tc>
        <w:tc>
          <w:tcPr>
            <w:tcW w:w="8395" w:type="dxa"/>
            <w:tcBorders>
              <w:top w:val="nil"/>
              <w:left w:val="nil"/>
              <w:bottom w:val="single" w:sz="4" w:space="0" w:color="auto"/>
              <w:right w:val="single" w:sz="4" w:space="0" w:color="auto"/>
            </w:tcBorders>
            <w:shd w:val="clear" w:color="000000" w:fill="FFFFFF"/>
            <w:vAlign w:val="center"/>
            <w:hideMark/>
          </w:tcPr>
          <w:p w14:paraId="517152B1"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É recomendável que segredos e chaves utilizados para autenticar, proteger e garantir integridade de dados sejam gerados de maneira a respeitar processos de duplo controle e split-</w:t>
            </w:r>
            <w:proofErr w:type="spellStart"/>
            <w:r w:rsidRPr="007428BC">
              <w:rPr>
                <w:rFonts w:ascii="Arial" w:eastAsia="Times New Roman" w:hAnsi="Arial" w:cs="Arial"/>
                <w:color w:val="000000"/>
                <w:lang w:eastAsia="pt-BR" w:bidi="kn-IN"/>
              </w:rPr>
              <w:t>of</w:t>
            </w:r>
            <w:proofErr w:type="spellEnd"/>
            <w:r w:rsidRPr="007428BC">
              <w:rPr>
                <w:rFonts w:ascii="Arial" w:eastAsia="Times New Roman" w:hAnsi="Arial" w:cs="Arial"/>
                <w:color w:val="000000"/>
                <w:lang w:eastAsia="pt-BR" w:bidi="kn-IN"/>
              </w:rPr>
              <w:t>-</w:t>
            </w:r>
            <w:proofErr w:type="spellStart"/>
            <w:r w:rsidRPr="007428BC">
              <w:rPr>
                <w:rFonts w:ascii="Arial" w:eastAsia="Times New Roman" w:hAnsi="Arial" w:cs="Arial"/>
                <w:color w:val="000000"/>
                <w:lang w:eastAsia="pt-BR" w:bidi="kn-IN"/>
              </w:rPr>
              <w:t>knowledge</w:t>
            </w:r>
            <w:proofErr w:type="spellEnd"/>
            <w:r w:rsidRPr="007428BC">
              <w:rPr>
                <w:rFonts w:ascii="Arial" w:eastAsia="Times New Roman" w:hAnsi="Arial" w:cs="Arial"/>
                <w:color w:val="000000"/>
                <w:lang w:eastAsia="pt-BR" w:bidi="kn-IN"/>
              </w:rPr>
              <w:t>, contendo registro que incluem data de geração, participantes e responsáveis pela custódia, quando aplicável.</w:t>
            </w:r>
          </w:p>
        </w:tc>
        <w:tc>
          <w:tcPr>
            <w:tcW w:w="1139" w:type="dxa"/>
            <w:tcBorders>
              <w:top w:val="nil"/>
              <w:left w:val="nil"/>
              <w:bottom w:val="single" w:sz="4" w:space="0" w:color="auto"/>
              <w:right w:val="single" w:sz="4" w:space="0" w:color="auto"/>
            </w:tcBorders>
            <w:shd w:val="clear" w:color="000000" w:fill="FFFFFF"/>
            <w:noWrap/>
            <w:vAlign w:val="center"/>
            <w:hideMark/>
          </w:tcPr>
          <w:p w14:paraId="037E421F"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7406972F"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5E0942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03A06F3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2.15</w:t>
            </w:r>
          </w:p>
        </w:tc>
        <w:tc>
          <w:tcPr>
            <w:tcW w:w="8395" w:type="dxa"/>
            <w:tcBorders>
              <w:top w:val="nil"/>
              <w:left w:val="nil"/>
              <w:bottom w:val="single" w:sz="4" w:space="0" w:color="auto"/>
              <w:right w:val="single" w:sz="4" w:space="0" w:color="auto"/>
            </w:tcBorders>
            <w:shd w:val="clear" w:color="000000" w:fill="FFFFFF"/>
            <w:vAlign w:val="center"/>
            <w:hideMark/>
          </w:tcPr>
          <w:p w14:paraId="3CD6682B"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participantes responsáveis por APIs utilizadas no Open Banking devem implementar mecanismos de segurança capazes de verificar a presença vulnerabilidades nas APIs durante todo o seu ciclo de vida, observada a regulamentação em vigor.</w:t>
            </w:r>
          </w:p>
        </w:tc>
        <w:tc>
          <w:tcPr>
            <w:tcW w:w="1139" w:type="dxa"/>
            <w:tcBorders>
              <w:top w:val="nil"/>
              <w:left w:val="nil"/>
              <w:bottom w:val="single" w:sz="4" w:space="0" w:color="auto"/>
              <w:right w:val="single" w:sz="4" w:space="0" w:color="auto"/>
            </w:tcBorders>
            <w:shd w:val="clear" w:color="000000" w:fill="FFFFFF"/>
            <w:noWrap/>
            <w:vAlign w:val="center"/>
            <w:hideMark/>
          </w:tcPr>
          <w:p w14:paraId="08670A66"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532FC15"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BE2E5C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0A94E46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2.16</w:t>
            </w:r>
          </w:p>
        </w:tc>
        <w:tc>
          <w:tcPr>
            <w:tcW w:w="8395" w:type="dxa"/>
            <w:tcBorders>
              <w:top w:val="nil"/>
              <w:left w:val="nil"/>
              <w:bottom w:val="single" w:sz="4" w:space="0" w:color="auto"/>
              <w:right w:val="single" w:sz="4" w:space="0" w:color="auto"/>
            </w:tcBorders>
            <w:shd w:val="clear" w:color="000000" w:fill="FFFFFF"/>
            <w:vAlign w:val="center"/>
            <w:hideMark/>
          </w:tcPr>
          <w:p w14:paraId="0D09E064"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participantes devem implementar processos de revisão periódica para garantir que somente portas e serviços autorizados estejam habilitados, observada regulamentação vigente.</w:t>
            </w:r>
          </w:p>
        </w:tc>
        <w:tc>
          <w:tcPr>
            <w:tcW w:w="1139" w:type="dxa"/>
            <w:tcBorders>
              <w:top w:val="nil"/>
              <w:left w:val="nil"/>
              <w:bottom w:val="single" w:sz="4" w:space="0" w:color="auto"/>
              <w:right w:val="single" w:sz="4" w:space="0" w:color="auto"/>
            </w:tcBorders>
            <w:shd w:val="clear" w:color="000000" w:fill="FFFFFF"/>
            <w:noWrap/>
            <w:vAlign w:val="center"/>
            <w:hideMark/>
          </w:tcPr>
          <w:p w14:paraId="4EF2019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F7A29CB"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7FFD746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3966F41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2.17</w:t>
            </w:r>
          </w:p>
        </w:tc>
        <w:tc>
          <w:tcPr>
            <w:tcW w:w="8395" w:type="dxa"/>
            <w:tcBorders>
              <w:top w:val="nil"/>
              <w:left w:val="nil"/>
              <w:bottom w:val="single" w:sz="4" w:space="0" w:color="auto"/>
              <w:right w:val="single" w:sz="4" w:space="0" w:color="auto"/>
            </w:tcBorders>
            <w:shd w:val="clear" w:color="000000" w:fill="FFFFFF"/>
            <w:vAlign w:val="center"/>
            <w:hideMark/>
          </w:tcPr>
          <w:p w14:paraId="3DAF3FEB"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participantes devem definir e orientar os requisitos necessários para implementação de mecanismos de autenticação e autorização em sistema, incluindo as aplicações, respeitando:</w:t>
            </w:r>
          </w:p>
        </w:tc>
        <w:tc>
          <w:tcPr>
            <w:tcW w:w="1139" w:type="dxa"/>
            <w:tcBorders>
              <w:top w:val="nil"/>
              <w:left w:val="nil"/>
              <w:bottom w:val="single" w:sz="4" w:space="0" w:color="auto"/>
              <w:right w:val="single" w:sz="4" w:space="0" w:color="auto"/>
            </w:tcBorders>
            <w:shd w:val="clear" w:color="000000" w:fill="FFFFFF"/>
            <w:noWrap/>
            <w:vAlign w:val="center"/>
            <w:hideMark/>
          </w:tcPr>
          <w:p w14:paraId="0733F63D"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799005B0"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CA2545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3A89A62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2.17.1</w:t>
            </w:r>
          </w:p>
        </w:tc>
        <w:tc>
          <w:tcPr>
            <w:tcW w:w="8395" w:type="dxa"/>
            <w:tcBorders>
              <w:top w:val="nil"/>
              <w:left w:val="nil"/>
              <w:bottom w:val="single" w:sz="4" w:space="0" w:color="auto"/>
              <w:right w:val="single" w:sz="4" w:space="0" w:color="auto"/>
            </w:tcBorders>
            <w:shd w:val="clear" w:color="000000" w:fill="FFFFFF"/>
            <w:vAlign w:val="center"/>
            <w:hideMark/>
          </w:tcPr>
          <w:p w14:paraId="4DB71FBF"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participantes devem garantir que portais e aplicações possuam meios de autenticação confiáveis e controle de autorização.</w:t>
            </w:r>
          </w:p>
        </w:tc>
        <w:tc>
          <w:tcPr>
            <w:tcW w:w="1139" w:type="dxa"/>
            <w:tcBorders>
              <w:top w:val="nil"/>
              <w:left w:val="nil"/>
              <w:bottom w:val="single" w:sz="4" w:space="0" w:color="auto"/>
              <w:right w:val="single" w:sz="4" w:space="0" w:color="auto"/>
            </w:tcBorders>
            <w:shd w:val="clear" w:color="000000" w:fill="FFFFFF"/>
            <w:noWrap/>
            <w:vAlign w:val="center"/>
            <w:hideMark/>
          </w:tcPr>
          <w:p w14:paraId="0549C17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461064ED"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25371CC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4E57270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2.17.2</w:t>
            </w:r>
          </w:p>
        </w:tc>
        <w:tc>
          <w:tcPr>
            <w:tcW w:w="8395" w:type="dxa"/>
            <w:tcBorders>
              <w:top w:val="nil"/>
              <w:left w:val="nil"/>
              <w:bottom w:val="single" w:sz="4" w:space="0" w:color="auto"/>
              <w:right w:val="single" w:sz="4" w:space="0" w:color="auto"/>
            </w:tcBorders>
            <w:shd w:val="clear" w:color="000000" w:fill="FFFFFF"/>
            <w:vAlign w:val="center"/>
            <w:hideMark/>
          </w:tcPr>
          <w:p w14:paraId="008013C1"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 processo de autenticação deve ser sempre realizado através de um canal de comunicação seguro, como por exemplo TLS 1.2 ou superior.</w:t>
            </w:r>
          </w:p>
        </w:tc>
        <w:tc>
          <w:tcPr>
            <w:tcW w:w="1139" w:type="dxa"/>
            <w:tcBorders>
              <w:top w:val="nil"/>
              <w:left w:val="nil"/>
              <w:bottom w:val="single" w:sz="4" w:space="0" w:color="auto"/>
              <w:right w:val="single" w:sz="4" w:space="0" w:color="auto"/>
            </w:tcBorders>
            <w:shd w:val="clear" w:color="000000" w:fill="FFFFFF"/>
            <w:noWrap/>
            <w:vAlign w:val="center"/>
            <w:hideMark/>
          </w:tcPr>
          <w:p w14:paraId="4C82840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7E057915"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7DFCAF9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w:t>
            </w:r>
          </w:p>
        </w:tc>
        <w:tc>
          <w:tcPr>
            <w:tcW w:w="810" w:type="dxa"/>
            <w:tcBorders>
              <w:top w:val="nil"/>
              <w:left w:val="nil"/>
              <w:bottom w:val="single" w:sz="4" w:space="0" w:color="auto"/>
              <w:right w:val="single" w:sz="4" w:space="0" w:color="auto"/>
            </w:tcBorders>
            <w:shd w:val="clear" w:color="000000" w:fill="FFFFFF"/>
            <w:noWrap/>
            <w:vAlign w:val="center"/>
            <w:hideMark/>
          </w:tcPr>
          <w:p w14:paraId="61E9F9D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2.18</w:t>
            </w:r>
          </w:p>
        </w:tc>
        <w:tc>
          <w:tcPr>
            <w:tcW w:w="8395" w:type="dxa"/>
            <w:tcBorders>
              <w:top w:val="nil"/>
              <w:left w:val="nil"/>
              <w:bottom w:val="single" w:sz="4" w:space="0" w:color="auto"/>
              <w:right w:val="single" w:sz="4" w:space="0" w:color="auto"/>
            </w:tcBorders>
            <w:shd w:val="clear" w:color="000000" w:fill="FFFFFF"/>
            <w:vAlign w:val="center"/>
            <w:hideMark/>
          </w:tcPr>
          <w:p w14:paraId="68239FC6"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acessos remotos a sistemas ou infraestrutura relacionada ao Open Banking devem ser realizados com autenticação de usuários, mediante uso de MFA, observada regulamentação vigente.</w:t>
            </w:r>
          </w:p>
        </w:tc>
        <w:tc>
          <w:tcPr>
            <w:tcW w:w="1139" w:type="dxa"/>
            <w:tcBorders>
              <w:top w:val="nil"/>
              <w:left w:val="nil"/>
              <w:bottom w:val="single" w:sz="4" w:space="0" w:color="auto"/>
              <w:right w:val="single" w:sz="4" w:space="0" w:color="auto"/>
            </w:tcBorders>
            <w:shd w:val="clear" w:color="000000" w:fill="FFFFFF"/>
            <w:noWrap/>
            <w:vAlign w:val="center"/>
            <w:hideMark/>
          </w:tcPr>
          <w:p w14:paraId="39B55EE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8E9A10D"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AEAAAA"/>
            <w:noWrap/>
            <w:vAlign w:val="center"/>
            <w:hideMark/>
          </w:tcPr>
          <w:p w14:paraId="3303264C" w14:textId="77777777" w:rsidR="007428BC" w:rsidRPr="007428BC" w:rsidRDefault="007428BC" w:rsidP="007428BC">
            <w:pPr>
              <w:spacing w:after="0" w:line="240" w:lineRule="auto"/>
              <w:jc w:val="center"/>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3</w:t>
            </w:r>
          </w:p>
        </w:tc>
        <w:tc>
          <w:tcPr>
            <w:tcW w:w="810" w:type="dxa"/>
            <w:tcBorders>
              <w:top w:val="nil"/>
              <w:left w:val="nil"/>
              <w:bottom w:val="single" w:sz="4" w:space="0" w:color="auto"/>
              <w:right w:val="single" w:sz="4" w:space="0" w:color="auto"/>
            </w:tcBorders>
            <w:shd w:val="clear" w:color="000000" w:fill="AEAAAA"/>
            <w:noWrap/>
            <w:vAlign w:val="center"/>
            <w:hideMark/>
          </w:tcPr>
          <w:p w14:paraId="1AE0FB44"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c>
          <w:tcPr>
            <w:tcW w:w="8395" w:type="dxa"/>
            <w:tcBorders>
              <w:top w:val="nil"/>
              <w:left w:val="nil"/>
              <w:bottom w:val="single" w:sz="4" w:space="0" w:color="auto"/>
              <w:right w:val="single" w:sz="4" w:space="0" w:color="auto"/>
            </w:tcBorders>
            <w:shd w:val="clear" w:color="000000" w:fill="AEAAAA"/>
            <w:noWrap/>
            <w:vAlign w:val="center"/>
            <w:hideMark/>
          </w:tcPr>
          <w:p w14:paraId="44142862" w14:textId="77777777" w:rsidR="007428BC" w:rsidRPr="007428BC" w:rsidRDefault="007428BC" w:rsidP="007428BC">
            <w:pPr>
              <w:spacing w:after="0" w:line="240" w:lineRule="auto"/>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Detecção</w:t>
            </w:r>
          </w:p>
        </w:tc>
        <w:tc>
          <w:tcPr>
            <w:tcW w:w="1139" w:type="dxa"/>
            <w:tcBorders>
              <w:top w:val="nil"/>
              <w:left w:val="nil"/>
              <w:bottom w:val="single" w:sz="4" w:space="0" w:color="auto"/>
              <w:right w:val="single" w:sz="4" w:space="0" w:color="auto"/>
            </w:tcBorders>
            <w:shd w:val="clear" w:color="000000" w:fill="AEAAAA"/>
            <w:vAlign w:val="center"/>
            <w:hideMark/>
          </w:tcPr>
          <w:p w14:paraId="545E18C8"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D61EF32" w14:textId="77777777" w:rsidTr="00A9519A">
        <w:trPr>
          <w:trHeight w:val="140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75D434E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w:t>
            </w:r>
          </w:p>
        </w:tc>
        <w:tc>
          <w:tcPr>
            <w:tcW w:w="810" w:type="dxa"/>
            <w:tcBorders>
              <w:top w:val="nil"/>
              <w:left w:val="nil"/>
              <w:bottom w:val="single" w:sz="4" w:space="0" w:color="auto"/>
              <w:right w:val="single" w:sz="4" w:space="0" w:color="auto"/>
            </w:tcBorders>
            <w:shd w:val="clear" w:color="000000" w:fill="FFFFFF"/>
            <w:noWrap/>
            <w:vAlign w:val="center"/>
            <w:hideMark/>
          </w:tcPr>
          <w:p w14:paraId="68FD8EAD"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3.1</w:t>
            </w:r>
          </w:p>
        </w:tc>
        <w:tc>
          <w:tcPr>
            <w:tcW w:w="8395" w:type="dxa"/>
            <w:tcBorders>
              <w:top w:val="nil"/>
              <w:left w:val="nil"/>
              <w:bottom w:val="single" w:sz="4" w:space="0" w:color="auto"/>
              <w:right w:val="single" w:sz="4" w:space="0" w:color="auto"/>
            </w:tcBorders>
            <w:shd w:val="clear" w:color="000000" w:fill="FFFFFF"/>
            <w:vAlign w:val="center"/>
            <w:hideMark/>
          </w:tcPr>
          <w:p w14:paraId="62577543"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devem manter trilhas de auditoria contendo, no mínimo, endereço IP de origem da chamada, porta de comunicação origem da chamada (porta TCP do cliente), data, hora, sistema, usuário (quando aplicável), objeto, falha ou sucesso da ação das configurações realizadas nos sistemas e APIs relacionados ao Open Banking, observadas a legislação e regulamentação vigentes.</w:t>
            </w:r>
          </w:p>
        </w:tc>
        <w:tc>
          <w:tcPr>
            <w:tcW w:w="1139" w:type="dxa"/>
            <w:tcBorders>
              <w:top w:val="nil"/>
              <w:left w:val="nil"/>
              <w:bottom w:val="single" w:sz="4" w:space="0" w:color="auto"/>
              <w:right w:val="single" w:sz="4" w:space="0" w:color="auto"/>
            </w:tcBorders>
            <w:shd w:val="clear" w:color="000000" w:fill="FFFFFF"/>
            <w:noWrap/>
            <w:vAlign w:val="center"/>
            <w:hideMark/>
          </w:tcPr>
          <w:p w14:paraId="503A733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14D0665E"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1224D8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w:t>
            </w:r>
          </w:p>
        </w:tc>
        <w:tc>
          <w:tcPr>
            <w:tcW w:w="810" w:type="dxa"/>
            <w:tcBorders>
              <w:top w:val="nil"/>
              <w:left w:val="nil"/>
              <w:bottom w:val="single" w:sz="4" w:space="0" w:color="auto"/>
              <w:right w:val="single" w:sz="4" w:space="0" w:color="auto"/>
            </w:tcBorders>
            <w:shd w:val="clear" w:color="000000" w:fill="FFFFFF"/>
            <w:noWrap/>
            <w:vAlign w:val="center"/>
            <w:hideMark/>
          </w:tcPr>
          <w:p w14:paraId="7C05BB6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3.2</w:t>
            </w:r>
          </w:p>
        </w:tc>
        <w:tc>
          <w:tcPr>
            <w:tcW w:w="8395" w:type="dxa"/>
            <w:tcBorders>
              <w:top w:val="nil"/>
              <w:left w:val="nil"/>
              <w:bottom w:val="single" w:sz="4" w:space="0" w:color="auto"/>
              <w:right w:val="single" w:sz="4" w:space="0" w:color="auto"/>
            </w:tcBorders>
            <w:shd w:val="clear" w:color="000000" w:fill="FFFFFF"/>
            <w:vAlign w:val="center"/>
            <w:hideMark/>
          </w:tcPr>
          <w:p w14:paraId="02F3BD42"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sistemas e APIs relacionados ao Open Banking devem possuir relógio sincronizado com fonte confiável de tempo, por exemplo, por meio do uso do protocolo NTP.</w:t>
            </w:r>
          </w:p>
        </w:tc>
        <w:tc>
          <w:tcPr>
            <w:tcW w:w="1139" w:type="dxa"/>
            <w:tcBorders>
              <w:top w:val="nil"/>
              <w:left w:val="nil"/>
              <w:bottom w:val="single" w:sz="4" w:space="0" w:color="auto"/>
              <w:right w:val="single" w:sz="4" w:space="0" w:color="auto"/>
            </w:tcBorders>
            <w:shd w:val="clear" w:color="000000" w:fill="FFFFFF"/>
            <w:noWrap/>
            <w:vAlign w:val="center"/>
            <w:hideMark/>
          </w:tcPr>
          <w:p w14:paraId="5BB0483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3FBE9FF"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19F3E796"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w:t>
            </w:r>
          </w:p>
        </w:tc>
        <w:tc>
          <w:tcPr>
            <w:tcW w:w="810" w:type="dxa"/>
            <w:tcBorders>
              <w:top w:val="nil"/>
              <w:left w:val="nil"/>
              <w:bottom w:val="single" w:sz="4" w:space="0" w:color="auto"/>
              <w:right w:val="single" w:sz="4" w:space="0" w:color="auto"/>
            </w:tcBorders>
            <w:shd w:val="clear" w:color="000000" w:fill="FFFFFF"/>
            <w:noWrap/>
            <w:vAlign w:val="center"/>
            <w:hideMark/>
          </w:tcPr>
          <w:p w14:paraId="3D082B4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3.3</w:t>
            </w:r>
          </w:p>
        </w:tc>
        <w:tc>
          <w:tcPr>
            <w:tcW w:w="8395" w:type="dxa"/>
            <w:tcBorders>
              <w:top w:val="nil"/>
              <w:left w:val="nil"/>
              <w:bottom w:val="single" w:sz="4" w:space="0" w:color="auto"/>
              <w:right w:val="single" w:sz="4" w:space="0" w:color="auto"/>
            </w:tcBorders>
            <w:shd w:val="clear" w:color="000000" w:fill="FFFFFF"/>
            <w:vAlign w:val="center"/>
            <w:hideMark/>
          </w:tcPr>
          <w:p w14:paraId="7D701435"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vulnerabilidades encontradas nas APIs ou demais sistemas relacionados ao Open Banking devem ser categorizadas e priorizadas de acordo com classificação de risco.</w:t>
            </w:r>
          </w:p>
        </w:tc>
        <w:tc>
          <w:tcPr>
            <w:tcW w:w="1139" w:type="dxa"/>
            <w:tcBorders>
              <w:top w:val="nil"/>
              <w:left w:val="nil"/>
              <w:bottom w:val="single" w:sz="4" w:space="0" w:color="auto"/>
              <w:right w:val="single" w:sz="4" w:space="0" w:color="auto"/>
            </w:tcBorders>
            <w:shd w:val="clear" w:color="000000" w:fill="FFFFFF"/>
            <w:noWrap/>
            <w:vAlign w:val="center"/>
            <w:hideMark/>
          </w:tcPr>
          <w:p w14:paraId="4FC42CE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C5D01F8"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24C9F1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w:t>
            </w:r>
          </w:p>
        </w:tc>
        <w:tc>
          <w:tcPr>
            <w:tcW w:w="810" w:type="dxa"/>
            <w:tcBorders>
              <w:top w:val="nil"/>
              <w:left w:val="nil"/>
              <w:bottom w:val="single" w:sz="4" w:space="0" w:color="auto"/>
              <w:right w:val="single" w:sz="4" w:space="0" w:color="auto"/>
            </w:tcBorders>
            <w:shd w:val="clear" w:color="000000" w:fill="FFFFFF"/>
            <w:noWrap/>
            <w:vAlign w:val="center"/>
            <w:hideMark/>
          </w:tcPr>
          <w:p w14:paraId="307F61A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3.4</w:t>
            </w:r>
          </w:p>
        </w:tc>
        <w:tc>
          <w:tcPr>
            <w:tcW w:w="8395" w:type="dxa"/>
            <w:tcBorders>
              <w:top w:val="nil"/>
              <w:left w:val="nil"/>
              <w:bottom w:val="single" w:sz="4" w:space="0" w:color="auto"/>
              <w:right w:val="single" w:sz="4" w:space="0" w:color="auto"/>
            </w:tcBorders>
            <w:shd w:val="clear" w:color="000000" w:fill="FFFFFF"/>
            <w:vAlign w:val="center"/>
            <w:hideMark/>
          </w:tcPr>
          <w:p w14:paraId="21D26E5B"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APIs e demais sistemas relacionados ao Open Banking devem ser implementados usando padrões de configuração segura (</w:t>
            </w:r>
            <w:proofErr w:type="spellStart"/>
            <w:r w:rsidRPr="007428BC">
              <w:rPr>
                <w:rFonts w:ascii="Arial" w:eastAsia="Times New Roman" w:hAnsi="Arial" w:cs="Arial"/>
                <w:color w:val="000000"/>
                <w:lang w:eastAsia="pt-BR" w:bidi="kn-IN"/>
              </w:rPr>
              <w:t>hardening</w:t>
            </w:r>
            <w:proofErr w:type="spellEnd"/>
            <w:r w:rsidRPr="007428BC">
              <w:rPr>
                <w:rFonts w:ascii="Arial" w:eastAsia="Times New Roman" w:hAnsi="Arial" w:cs="Arial"/>
                <w:color w:val="000000"/>
                <w:lang w:eastAsia="pt-BR" w:bidi="kn-IN"/>
              </w:rPr>
              <w:t>), observada a regulamentação vigente.</w:t>
            </w:r>
          </w:p>
        </w:tc>
        <w:tc>
          <w:tcPr>
            <w:tcW w:w="1139" w:type="dxa"/>
            <w:tcBorders>
              <w:top w:val="nil"/>
              <w:left w:val="nil"/>
              <w:bottom w:val="single" w:sz="4" w:space="0" w:color="auto"/>
              <w:right w:val="single" w:sz="4" w:space="0" w:color="auto"/>
            </w:tcBorders>
            <w:shd w:val="clear" w:color="000000" w:fill="FFFFFF"/>
            <w:noWrap/>
            <w:vAlign w:val="center"/>
            <w:hideMark/>
          </w:tcPr>
          <w:p w14:paraId="20E06A5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45E662E1"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772169E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w:t>
            </w:r>
          </w:p>
        </w:tc>
        <w:tc>
          <w:tcPr>
            <w:tcW w:w="810" w:type="dxa"/>
            <w:tcBorders>
              <w:top w:val="nil"/>
              <w:left w:val="nil"/>
              <w:bottom w:val="single" w:sz="4" w:space="0" w:color="auto"/>
              <w:right w:val="single" w:sz="4" w:space="0" w:color="auto"/>
            </w:tcBorders>
            <w:shd w:val="clear" w:color="000000" w:fill="FFFFFF"/>
            <w:noWrap/>
            <w:vAlign w:val="center"/>
            <w:hideMark/>
          </w:tcPr>
          <w:p w14:paraId="57E972F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3.5</w:t>
            </w:r>
          </w:p>
        </w:tc>
        <w:tc>
          <w:tcPr>
            <w:tcW w:w="8395" w:type="dxa"/>
            <w:tcBorders>
              <w:top w:val="nil"/>
              <w:left w:val="nil"/>
              <w:bottom w:val="single" w:sz="4" w:space="0" w:color="auto"/>
              <w:right w:val="single" w:sz="4" w:space="0" w:color="auto"/>
            </w:tcBorders>
            <w:shd w:val="clear" w:color="000000" w:fill="FFFFFF"/>
            <w:vAlign w:val="center"/>
            <w:hideMark/>
          </w:tcPr>
          <w:p w14:paraId="31ECBE8F"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Os participantes e demais integrantes do ecossistema devem monitorar os logs de suas APIs, em especial os registros que indicarem erros internos (</w:t>
            </w:r>
            <w:proofErr w:type="spellStart"/>
            <w:r w:rsidRPr="007428BC">
              <w:rPr>
                <w:rFonts w:ascii="Arial" w:eastAsia="Times New Roman" w:hAnsi="Arial" w:cs="Arial"/>
                <w:color w:val="000000"/>
                <w:lang w:eastAsia="pt-BR" w:bidi="kn-IN"/>
              </w:rPr>
              <w:t>ex</w:t>
            </w:r>
            <w:proofErr w:type="spellEnd"/>
            <w:r w:rsidRPr="007428BC">
              <w:rPr>
                <w:rFonts w:ascii="Arial" w:eastAsia="Times New Roman" w:hAnsi="Arial" w:cs="Arial"/>
                <w:color w:val="000000"/>
                <w:lang w:eastAsia="pt-BR" w:bidi="kn-IN"/>
              </w:rPr>
              <w:t>: status HTTP 500), requisições inválidas (</w:t>
            </w:r>
            <w:proofErr w:type="spellStart"/>
            <w:r w:rsidRPr="007428BC">
              <w:rPr>
                <w:rFonts w:ascii="Arial" w:eastAsia="Times New Roman" w:hAnsi="Arial" w:cs="Arial"/>
                <w:color w:val="000000"/>
                <w:lang w:eastAsia="pt-BR" w:bidi="kn-IN"/>
              </w:rPr>
              <w:t>ex</w:t>
            </w:r>
            <w:proofErr w:type="spellEnd"/>
            <w:r w:rsidRPr="007428BC">
              <w:rPr>
                <w:rFonts w:ascii="Arial" w:eastAsia="Times New Roman" w:hAnsi="Arial" w:cs="Arial"/>
                <w:color w:val="000000"/>
                <w:lang w:eastAsia="pt-BR" w:bidi="kn-IN"/>
              </w:rPr>
              <w:t>: status HTTP 400), observada a regulamentação em vigor.</w:t>
            </w:r>
          </w:p>
        </w:tc>
        <w:tc>
          <w:tcPr>
            <w:tcW w:w="1139" w:type="dxa"/>
            <w:tcBorders>
              <w:top w:val="nil"/>
              <w:left w:val="nil"/>
              <w:bottom w:val="single" w:sz="4" w:space="0" w:color="auto"/>
              <w:right w:val="single" w:sz="4" w:space="0" w:color="auto"/>
            </w:tcBorders>
            <w:shd w:val="clear" w:color="000000" w:fill="FFFFFF"/>
            <w:noWrap/>
            <w:vAlign w:val="center"/>
            <w:hideMark/>
          </w:tcPr>
          <w:p w14:paraId="6257305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24AA8417"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26C337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w:t>
            </w:r>
          </w:p>
        </w:tc>
        <w:tc>
          <w:tcPr>
            <w:tcW w:w="810" w:type="dxa"/>
            <w:tcBorders>
              <w:top w:val="nil"/>
              <w:left w:val="nil"/>
              <w:bottom w:val="single" w:sz="4" w:space="0" w:color="auto"/>
              <w:right w:val="single" w:sz="4" w:space="0" w:color="auto"/>
            </w:tcBorders>
            <w:shd w:val="clear" w:color="000000" w:fill="FFFFFF"/>
            <w:noWrap/>
            <w:vAlign w:val="center"/>
            <w:hideMark/>
          </w:tcPr>
          <w:p w14:paraId="7BFE70D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3.6</w:t>
            </w:r>
          </w:p>
        </w:tc>
        <w:tc>
          <w:tcPr>
            <w:tcW w:w="8395" w:type="dxa"/>
            <w:tcBorders>
              <w:top w:val="nil"/>
              <w:left w:val="nil"/>
              <w:bottom w:val="single" w:sz="4" w:space="0" w:color="auto"/>
              <w:right w:val="single" w:sz="4" w:space="0" w:color="auto"/>
            </w:tcBorders>
            <w:shd w:val="clear" w:color="000000" w:fill="FFFFFF"/>
            <w:vAlign w:val="center"/>
            <w:hideMark/>
          </w:tcPr>
          <w:p w14:paraId="6B3C7698"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devem implementar um processo formal de aplicação de patch baseando-se nas políticas internas da organização e que contemple todos os sistemas relacionados a implementação do Open Banking, observada regulamentação vigente.</w:t>
            </w:r>
          </w:p>
        </w:tc>
        <w:tc>
          <w:tcPr>
            <w:tcW w:w="1139" w:type="dxa"/>
            <w:tcBorders>
              <w:top w:val="nil"/>
              <w:left w:val="nil"/>
              <w:bottom w:val="single" w:sz="4" w:space="0" w:color="auto"/>
              <w:right w:val="single" w:sz="4" w:space="0" w:color="auto"/>
            </w:tcBorders>
            <w:shd w:val="clear" w:color="000000" w:fill="FFFFFF"/>
            <w:noWrap/>
            <w:vAlign w:val="center"/>
            <w:hideMark/>
          </w:tcPr>
          <w:p w14:paraId="099E9AEF"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7CE22AB5"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AEAAAA"/>
            <w:noWrap/>
            <w:vAlign w:val="center"/>
            <w:hideMark/>
          </w:tcPr>
          <w:p w14:paraId="3C9A21D9" w14:textId="77777777" w:rsidR="007428BC" w:rsidRPr="007428BC" w:rsidRDefault="007428BC" w:rsidP="007428BC">
            <w:pPr>
              <w:spacing w:after="0" w:line="240" w:lineRule="auto"/>
              <w:jc w:val="center"/>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4</w:t>
            </w:r>
          </w:p>
        </w:tc>
        <w:tc>
          <w:tcPr>
            <w:tcW w:w="810" w:type="dxa"/>
            <w:tcBorders>
              <w:top w:val="nil"/>
              <w:left w:val="nil"/>
              <w:bottom w:val="single" w:sz="4" w:space="0" w:color="auto"/>
              <w:right w:val="single" w:sz="4" w:space="0" w:color="auto"/>
            </w:tcBorders>
            <w:shd w:val="clear" w:color="000000" w:fill="AEAAAA"/>
            <w:noWrap/>
            <w:vAlign w:val="center"/>
            <w:hideMark/>
          </w:tcPr>
          <w:p w14:paraId="00116438"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c>
          <w:tcPr>
            <w:tcW w:w="8395" w:type="dxa"/>
            <w:tcBorders>
              <w:top w:val="nil"/>
              <w:left w:val="nil"/>
              <w:bottom w:val="single" w:sz="4" w:space="0" w:color="auto"/>
              <w:right w:val="single" w:sz="4" w:space="0" w:color="auto"/>
            </w:tcBorders>
            <w:shd w:val="clear" w:color="000000" w:fill="AEAAAA"/>
            <w:noWrap/>
            <w:vAlign w:val="center"/>
            <w:hideMark/>
          </w:tcPr>
          <w:p w14:paraId="363E586A" w14:textId="77777777" w:rsidR="007428BC" w:rsidRPr="007428BC" w:rsidRDefault="007428BC" w:rsidP="007428BC">
            <w:pPr>
              <w:spacing w:after="0" w:line="240" w:lineRule="auto"/>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Reação</w:t>
            </w:r>
          </w:p>
        </w:tc>
        <w:tc>
          <w:tcPr>
            <w:tcW w:w="1139" w:type="dxa"/>
            <w:tcBorders>
              <w:top w:val="nil"/>
              <w:left w:val="nil"/>
              <w:bottom w:val="single" w:sz="4" w:space="0" w:color="auto"/>
              <w:right w:val="single" w:sz="4" w:space="0" w:color="auto"/>
            </w:tcBorders>
            <w:shd w:val="clear" w:color="000000" w:fill="AEAAAA"/>
            <w:vAlign w:val="center"/>
            <w:hideMark/>
          </w:tcPr>
          <w:p w14:paraId="10D2AA76"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2678C1BA" w14:textId="77777777" w:rsidTr="00A9519A">
        <w:trPr>
          <w:trHeight w:val="140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0B8D6AA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lastRenderedPageBreak/>
              <w:t>4</w:t>
            </w:r>
          </w:p>
        </w:tc>
        <w:tc>
          <w:tcPr>
            <w:tcW w:w="810" w:type="dxa"/>
            <w:tcBorders>
              <w:top w:val="nil"/>
              <w:left w:val="nil"/>
              <w:bottom w:val="single" w:sz="4" w:space="0" w:color="auto"/>
              <w:right w:val="single" w:sz="4" w:space="0" w:color="auto"/>
            </w:tcBorders>
            <w:shd w:val="clear" w:color="000000" w:fill="FFFFFF"/>
            <w:noWrap/>
            <w:vAlign w:val="center"/>
            <w:hideMark/>
          </w:tcPr>
          <w:p w14:paraId="4B4136C0"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4.1</w:t>
            </w:r>
          </w:p>
        </w:tc>
        <w:tc>
          <w:tcPr>
            <w:tcW w:w="8395" w:type="dxa"/>
            <w:tcBorders>
              <w:top w:val="nil"/>
              <w:left w:val="nil"/>
              <w:bottom w:val="single" w:sz="4" w:space="0" w:color="auto"/>
              <w:right w:val="single" w:sz="4" w:space="0" w:color="auto"/>
            </w:tcBorders>
            <w:shd w:val="clear" w:color="000000" w:fill="FFFFFF"/>
            <w:vAlign w:val="center"/>
            <w:hideMark/>
          </w:tcPr>
          <w:p w14:paraId="1FDE326D"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É facultado às instituições participantes transmissoras de dados implementar bloqueio de acessos às suas APIs, com vistas a tratar riscos cibernéticos ou para tratar incidentes cibernéticos em andamento, caso, por exemplo, perceba uma ação maliciosa. A implementação desses bloqueios deve ser compatível com a Política de Segurança Cibernética da instituição.</w:t>
            </w:r>
          </w:p>
        </w:tc>
        <w:tc>
          <w:tcPr>
            <w:tcW w:w="1139" w:type="dxa"/>
            <w:tcBorders>
              <w:top w:val="nil"/>
              <w:left w:val="nil"/>
              <w:bottom w:val="single" w:sz="4" w:space="0" w:color="auto"/>
              <w:right w:val="single" w:sz="4" w:space="0" w:color="auto"/>
            </w:tcBorders>
            <w:shd w:val="clear" w:color="000000" w:fill="FFFFFF"/>
            <w:noWrap/>
            <w:vAlign w:val="center"/>
            <w:hideMark/>
          </w:tcPr>
          <w:p w14:paraId="2A414EC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9FFA68C"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01ACB95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w:t>
            </w:r>
          </w:p>
        </w:tc>
        <w:tc>
          <w:tcPr>
            <w:tcW w:w="810" w:type="dxa"/>
            <w:tcBorders>
              <w:top w:val="nil"/>
              <w:left w:val="nil"/>
              <w:bottom w:val="single" w:sz="4" w:space="0" w:color="auto"/>
              <w:right w:val="single" w:sz="4" w:space="0" w:color="auto"/>
            </w:tcBorders>
            <w:shd w:val="clear" w:color="000000" w:fill="FFFFFF"/>
            <w:noWrap/>
            <w:vAlign w:val="center"/>
            <w:hideMark/>
          </w:tcPr>
          <w:p w14:paraId="5A4EFDF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4.2</w:t>
            </w:r>
          </w:p>
        </w:tc>
        <w:tc>
          <w:tcPr>
            <w:tcW w:w="8395" w:type="dxa"/>
            <w:tcBorders>
              <w:top w:val="nil"/>
              <w:left w:val="nil"/>
              <w:bottom w:val="single" w:sz="4" w:space="0" w:color="auto"/>
              <w:right w:val="single" w:sz="4" w:space="0" w:color="auto"/>
            </w:tcBorders>
            <w:shd w:val="clear" w:color="000000" w:fill="FFFFFF"/>
            <w:vAlign w:val="center"/>
            <w:hideMark/>
          </w:tcPr>
          <w:p w14:paraId="2372ECBE"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Em caso de comprometimento de credencial, o participante do Open Banking deve revogá-la imediatamente junto ao diretório e comunicar aos demais participantes, observando a regulamentação vigente.</w:t>
            </w:r>
          </w:p>
        </w:tc>
        <w:tc>
          <w:tcPr>
            <w:tcW w:w="1139" w:type="dxa"/>
            <w:tcBorders>
              <w:top w:val="nil"/>
              <w:left w:val="nil"/>
              <w:bottom w:val="single" w:sz="4" w:space="0" w:color="auto"/>
              <w:right w:val="single" w:sz="4" w:space="0" w:color="auto"/>
            </w:tcBorders>
            <w:shd w:val="clear" w:color="000000" w:fill="FFFFFF"/>
            <w:noWrap/>
            <w:vAlign w:val="center"/>
            <w:hideMark/>
          </w:tcPr>
          <w:p w14:paraId="0AF0FBF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45D4E4E8"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FA524F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w:t>
            </w:r>
          </w:p>
        </w:tc>
        <w:tc>
          <w:tcPr>
            <w:tcW w:w="810" w:type="dxa"/>
            <w:tcBorders>
              <w:top w:val="nil"/>
              <w:left w:val="nil"/>
              <w:bottom w:val="single" w:sz="4" w:space="0" w:color="auto"/>
              <w:right w:val="single" w:sz="4" w:space="0" w:color="auto"/>
            </w:tcBorders>
            <w:shd w:val="clear" w:color="000000" w:fill="FFFFFF"/>
            <w:noWrap/>
            <w:vAlign w:val="center"/>
            <w:hideMark/>
          </w:tcPr>
          <w:p w14:paraId="3D873AD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4.3</w:t>
            </w:r>
          </w:p>
        </w:tc>
        <w:tc>
          <w:tcPr>
            <w:tcW w:w="8395" w:type="dxa"/>
            <w:tcBorders>
              <w:top w:val="nil"/>
              <w:left w:val="nil"/>
              <w:bottom w:val="single" w:sz="4" w:space="0" w:color="auto"/>
              <w:right w:val="single" w:sz="4" w:space="0" w:color="auto"/>
            </w:tcBorders>
            <w:shd w:val="clear" w:color="000000" w:fill="FFFFFF"/>
            <w:vAlign w:val="center"/>
            <w:hideMark/>
          </w:tcPr>
          <w:p w14:paraId="07E85B24"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Efetuar comunicação para todas as instituições participantes no momento da confirmação de um incidente cibernético ligado aos serviços do Open Banking, independente da instituição ser transmissora ou receptora de dados.</w:t>
            </w:r>
          </w:p>
        </w:tc>
        <w:tc>
          <w:tcPr>
            <w:tcW w:w="1139" w:type="dxa"/>
            <w:tcBorders>
              <w:top w:val="nil"/>
              <w:left w:val="nil"/>
              <w:bottom w:val="single" w:sz="4" w:space="0" w:color="auto"/>
              <w:right w:val="single" w:sz="4" w:space="0" w:color="auto"/>
            </w:tcBorders>
            <w:shd w:val="clear" w:color="000000" w:fill="FFFFFF"/>
            <w:noWrap/>
            <w:vAlign w:val="center"/>
            <w:hideMark/>
          </w:tcPr>
          <w:p w14:paraId="77FD272D"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7AE5BB5"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135E5FFE"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w:t>
            </w:r>
          </w:p>
        </w:tc>
        <w:tc>
          <w:tcPr>
            <w:tcW w:w="810" w:type="dxa"/>
            <w:tcBorders>
              <w:top w:val="nil"/>
              <w:left w:val="nil"/>
              <w:bottom w:val="single" w:sz="4" w:space="0" w:color="auto"/>
              <w:right w:val="single" w:sz="4" w:space="0" w:color="auto"/>
            </w:tcBorders>
            <w:shd w:val="clear" w:color="000000" w:fill="FFFFFF"/>
            <w:noWrap/>
            <w:vAlign w:val="center"/>
            <w:hideMark/>
          </w:tcPr>
          <w:p w14:paraId="2695403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4.4</w:t>
            </w:r>
          </w:p>
        </w:tc>
        <w:tc>
          <w:tcPr>
            <w:tcW w:w="8395" w:type="dxa"/>
            <w:tcBorders>
              <w:top w:val="nil"/>
              <w:left w:val="nil"/>
              <w:bottom w:val="single" w:sz="4" w:space="0" w:color="auto"/>
              <w:right w:val="single" w:sz="4" w:space="0" w:color="auto"/>
            </w:tcBorders>
            <w:shd w:val="clear" w:color="000000" w:fill="FFFFFF"/>
            <w:vAlign w:val="center"/>
            <w:hideMark/>
          </w:tcPr>
          <w:p w14:paraId="46CDF0AC"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No âmbito do Open Banking e observada a regulamentação em vigor, o plano de ação e resposta a incidentes deve contemplar, no mínimo, procedimentos para detectar e reagir a incidentes que possam implicar em:</w:t>
            </w:r>
          </w:p>
        </w:tc>
        <w:tc>
          <w:tcPr>
            <w:tcW w:w="1139" w:type="dxa"/>
            <w:tcBorders>
              <w:top w:val="nil"/>
              <w:left w:val="nil"/>
              <w:bottom w:val="single" w:sz="4" w:space="0" w:color="auto"/>
              <w:right w:val="single" w:sz="4" w:space="0" w:color="auto"/>
            </w:tcBorders>
            <w:shd w:val="clear" w:color="000000" w:fill="FFFFFF"/>
            <w:noWrap/>
            <w:vAlign w:val="center"/>
            <w:hideMark/>
          </w:tcPr>
          <w:p w14:paraId="6596DD2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36D1EA81"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2701205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w:t>
            </w:r>
          </w:p>
        </w:tc>
        <w:tc>
          <w:tcPr>
            <w:tcW w:w="810" w:type="dxa"/>
            <w:tcBorders>
              <w:top w:val="nil"/>
              <w:left w:val="nil"/>
              <w:bottom w:val="single" w:sz="4" w:space="0" w:color="auto"/>
              <w:right w:val="single" w:sz="4" w:space="0" w:color="auto"/>
            </w:tcBorders>
            <w:shd w:val="clear" w:color="000000" w:fill="FFFFFF"/>
            <w:noWrap/>
            <w:vAlign w:val="center"/>
            <w:hideMark/>
          </w:tcPr>
          <w:p w14:paraId="7142B7E4"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4.4.1</w:t>
            </w:r>
          </w:p>
        </w:tc>
        <w:tc>
          <w:tcPr>
            <w:tcW w:w="8395" w:type="dxa"/>
            <w:tcBorders>
              <w:top w:val="nil"/>
              <w:left w:val="nil"/>
              <w:bottom w:val="single" w:sz="4" w:space="0" w:color="auto"/>
              <w:right w:val="single" w:sz="4" w:space="0" w:color="auto"/>
            </w:tcBorders>
            <w:shd w:val="clear" w:color="000000" w:fill="FFFFFF"/>
            <w:vAlign w:val="center"/>
            <w:hideMark/>
          </w:tcPr>
          <w:p w14:paraId="2795A38F"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Acesso não autorizado;</w:t>
            </w:r>
          </w:p>
        </w:tc>
        <w:tc>
          <w:tcPr>
            <w:tcW w:w="1139" w:type="dxa"/>
            <w:tcBorders>
              <w:top w:val="nil"/>
              <w:left w:val="nil"/>
              <w:bottom w:val="single" w:sz="4" w:space="0" w:color="auto"/>
              <w:right w:val="single" w:sz="4" w:space="0" w:color="auto"/>
            </w:tcBorders>
            <w:shd w:val="clear" w:color="000000" w:fill="FFFFFF"/>
            <w:noWrap/>
            <w:vAlign w:val="center"/>
            <w:hideMark/>
          </w:tcPr>
          <w:p w14:paraId="32B076FF"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C9779E9"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2E1E36D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w:t>
            </w:r>
          </w:p>
        </w:tc>
        <w:tc>
          <w:tcPr>
            <w:tcW w:w="810" w:type="dxa"/>
            <w:tcBorders>
              <w:top w:val="nil"/>
              <w:left w:val="nil"/>
              <w:bottom w:val="single" w:sz="4" w:space="0" w:color="auto"/>
              <w:right w:val="single" w:sz="4" w:space="0" w:color="auto"/>
            </w:tcBorders>
            <w:shd w:val="clear" w:color="000000" w:fill="FFFFFF"/>
            <w:noWrap/>
            <w:vAlign w:val="center"/>
            <w:hideMark/>
          </w:tcPr>
          <w:p w14:paraId="582AF075"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4.4.2</w:t>
            </w:r>
          </w:p>
        </w:tc>
        <w:tc>
          <w:tcPr>
            <w:tcW w:w="8395" w:type="dxa"/>
            <w:tcBorders>
              <w:top w:val="nil"/>
              <w:left w:val="nil"/>
              <w:bottom w:val="single" w:sz="4" w:space="0" w:color="auto"/>
              <w:right w:val="single" w:sz="4" w:space="0" w:color="auto"/>
            </w:tcBorders>
            <w:shd w:val="clear" w:color="000000" w:fill="FFFFFF"/>
            <w:vAlign w:val="center"/>
            <w:hideMark/>
          </w:tcPr>
          <w:p w14:paraId="0257993E"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Vazamento de dados;</w:t>
            </w:r>
          </w:p>
        </w:tc>
        <w:tc>
          <w:tcPr>
            <w:tcW w:w="1139" w:type="dxa"/>
            <w:tcBorders>
              <w:top w:val="nil"/>
              <w:left w:val="nil"/>
              <w:bottom w:val="single" w:sz="4" w:space="0" w:color="auto"/>
              <w:right w:val="single" w:sz="4" w:space="0" w:color="auto"/>
            </w:tcBorders>
            <w:shd w:val="clear" w:color="000000" w:fill="FFFFFF"/>
            <w:noWrap/>
            <w:vAlign w:val="center"/>
            <w:hideMark/>
          </w:tcPr>
          <w:p w14:paraId="759E7FBD"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41CCC1D5"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A2CC0F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w:t>
            </w:r>
          </w:p>
        </w:tc>
        <w:tc>
          <w:tcPr>
            <w:tcW w:w="810" w:type="dxa"/>
            <w:tcBorders>
              <w:top w:val="nil"/>
              <w:left w:val="nil"/>
              <w:bottom w:val="single" w:sz="4" w:space="0" w:color="auto"/>
              <w:right w:val="single" w:sz="4" w:space="0" w:color="auto"/>
            </w:tcBorders>
            <w:shd w:val="clear" w:color="000000" w:fill="FFFFFF"/>
            <w:noWrap/>
            <w:vAlign w:val="center"/>
            <w:hideMark/>
          </w:tcPr>
          <w:p w14:paraId="61F40EC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4.4.3</w:t>
            </w:r>
          </w:p>
        </w:tc>
        <w:tc>
          <w:tcPr>
            <w:tcW w:w="8395" w:type="dxa"/>
            <w:tcBorders>
              <w:top w:val="nil"/>
              <w:left w:val="nil"/>
              <w:bottom w:val="single" w:sz="4" w:space="0" w:color="auto"/>
              <w:right w:val="single" w:sz="4" w:space="0" w:color="auto"/>
            </w:tcBorders>
            <w:shd w:val="clear" w:color="000000" w:fill="FFFFFF"/>
            <w:vAlign w:val="center"/>
            <w:hideMark/>
          </w:tcPr>
          <w:p w14:paraId="6AE8184C"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Negação de serviço.</w:t>
            </w:r>
          </w:p>
        </w:tc>
        <w:tc>
          <w:tcPr>
            <w:tcW w:w="1139" w:type="dxa"/>
            <w:tcBorders>
              <w:top w:val="nil"/>
              <w:left w:val="nil"/>
              <w:bottom w:val="single" w:sz="4" w:space="0" w:color="auto"/>
              <w:right w:val="single" w:sz="4" w:space="0" w:color="auto"/>
            </w:tcBorders>
            <w:shd w:val="clear" w:color="000000" w:fill="FFFFFF"/>
            <w:noWrap/>
            <w:vAlign w:val="center"/>
            <w:hideMark/>
          </w:tcPr>
          <w:p w14:paraId="64F90F4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74665C3" w14:textId="77777777" w:rsidTr="00A9519A">
        <w:trPr>
          <w:trHeight w:val="84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734DF72"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w:t>
            </w:r>
          </w:p>
        </w:tc>
        <w:tc>
          <w:tcPr>
            <w:tcW w:w="810" w:type="dxa"/>
            <w:tcBorders>
              <w:top w:val="nil"/>
              <w:left w:val="nil"/>
              <w:bottom w:val="single" w:sz="4" w:space="0" w:color="auto"/>
              <w:right w:val="single" w:sz="4" w:space="0" w:color="auto"/>
            </w:tcBorders>
            <w:shd w:val="clear" w:color="000000" w:fill="FFFFFF"/>
            <w:noWrap/>
            <w:vAlign w:val="center"/>
            <w:hideMark/>
          </w:tcPr>
          <w:p w14:paraId="726CF4CC"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4.5</w:t>
            </w:r>
          </w:p>
        </w:tc>
        <w:tc>
          <w:tcPr>
            <w:tcW w:w="8395" w:type="dxa"/>
            <w:tcBorders>
              <w:top w:val="nil"/>
              <w:left w:val="nil"/>
              <w:bottom w:val="single" w:sz="4" w:space="0" w:color="auto"/>
              <w:right w:val="single" w:sz="4" w:space="0" w:color="auto"/>
            </w:tcBorders>
            <w:shd w:val="clear" w:color="000000" w:fill="FFFFFF"/>
            <w:vAlign w:val="center"/>
            <w:hideMark/>
          </w:tcPr>
          <w:p w14:paraId="58F834E3"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As instituições participantes devem dar conhecimento à equipe definida no item 5.5 em casos de bloqueios ou suspeitas de ataques que contenham como origem um dos participantes do Open Banking.</w:t>
            </w:r>
          </w:p>
        </w:tc>
        <w:tc>
          <w:tcPr>
            <w:tcW w:w="1139" w:type="dxa"/>
            <w:tcBorders>
              <w:top w:val="nil"/>
              <w:left w:val="nil"/>
              <w:bottom w:val="single" w:sz="4" w:space="0" w:color="auto"/>
              <w:right w:val="single" w:sz="4" w:space="0" w:color="auto"/>
            </w:tcBorders>
            <w:shd w:val="clear" w:color="000000" w:fill="FFFFFF"/>
            <w:noWrap/>
            <w:vAlign w:val="center"/>
            <w:hideMark/>
          </w:tcPr>
          <w:p w14:paraId="4511CF3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24E57C6E" w14:textId="77777777" w:rsidTr="00A9519A">
        <w:trPr>
          <w:trHeight w:val="290"/>
        </w:trPr>
        <w:tc>
          <w:tcPr>
            <w:tcW w:w="1002" w:type="dxa"/>
            <w:tcBorders>
              <w:top w:val="nil"/>
              <w:left w:val="single" w:sz="4" w:space="0" w:color="auto"/>
              <w:bottom w:val="single" w:sz="4" w:space="0" w:color="auto"/>
              <w:right w:val="single" w:sz="4" w:space="0" w:color="auto"/>
            </w:tcBorders>
            <w:shd w:val="clear" w:color="000000" w:fill="AEAAAA"/>
            <w:noWrap/>
            <w:vAlign w:val="center"/>
            <w:hideMark/>
          </w:tcPr>
          <w:p w14:paraId="42BAD74F" w14:textId="77777777" w:rsidR="007428BC" w:rsidRPr="007428BC" w:rsidRDefault="007428BC" w:rsidP="007428BC">
            <w:pPr>
              <w:spacing w:after="0" w:line="240" w:lineRule="auto"/>
              <w:jc w:val="center"/>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5</w:t>
            </w:r>
          </w:p>
        </w:tc>
        <w:tc>
          <w:tcPr>
            <w:tcW w:w="810" w:type="dxa"/>
            <w:tcBorders>
              <w:top w:val="nil"/>
              <w:left w:val="nil"/>
              <w:bottom w:val="single" w:sz="4" w:space="0" w:color="auto"/>
              <w:right w:val="single" w:sz="4" w:space="0" w:color="auto"/>
            </w:tcBorders>
            <w:shd w:val="clear" w:color="000000" w:fill="AEAAAA"/>
            <w:noWrap/>
            <w:vAlign w:val="center"/>
            <w:hideMark/>
          </w:tcPr>
          <w:p w14:paraId="14E2DA01"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c>
          <w:tcPr>
            <w:tcW w:w="8395" w:type="dxa"/>
            <w:tcBorders>
              <w:top w:val="nil"/>
              <w:left w:val="nil"/>
              <w:bottom w:val="single" w:sz="4" w:space="0" w:color="auto"/>
              <w:right w:val="single" w:sz="4" w:space="0" w:color="auto"/>
            </w:tcBorders>
            <w:shd w:val="clear" w:color="000000" w:fill="AEAAAA"/>
            <w:vAlign w:val="center"/>
            <w:hideMark/>
          </w:tcPr>
          <w:p w14:paraId="5DD205D8" w14:textId="49524F5D" w:rsidR="007428BC" w:rsidRPr="007428BC" w:rsidRDefault="007428BC" w:rsidP="007428BC">
            <w:pPr>
              <w:spacing w:after="0" w:line="240" w:lineRule="auto"/>
              <w:rPr>
                <w:rFonts w:ascii="Arial" w:eastAsia="Times New Roman" w:hAnsi="Arial" w:cs="Arial"/>
                <w:b/>
                <w:bCs/>
                <w:color w:val="000000"/>
                <w:lang w:eastAsia="pt-BR" w:bidi="kn-IN"/>
              </w:rPr>
            </w:pPr>
            <w:r w:rsidRPr="007428BC">
              <w:rPr>
                <w:rFonts w:ascii="Arial" w:eastAsia="Times New Roman" w:hAnsi="Arial" w:cs="Arial"/>
                <w:b/>
                <w:bCs/>
                <w:color w:val="000000"/>
                <w:lang w:eastAsia="pt-BR" w:bidi="kn-IN"/>
              </w:rPr>
              <w:t>Diretório</w:t>
            </w:r>
          </w:p>
        </w:tc>
        <w:tc>
          <w:tcPr>
            <w:tcW w:w="1139" w:type="dxa"/>
            <w:tcBorders>
              <w:top w:val="nil"/>
              <w:left w:val="nil"/>
              <w:bottom w:val="single" w:sz="4" w:space="0" w:color="auto"/>
              <w:right w:val="single" w:sz="4" w:space="0" w:color="auto"/>
            </w:tcBorders>
            <w:shd w:val="clear" w:color="000000" w:fill="AEAAAA"/>
            <w:vAlign w:val="center"/>
            <w:hideMark/>
          </w:tcPr>
          <w:p w14:paraId="5D37131F"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436C7545" w14:textId="77777777" w:rsidTr="00A9519A">
        <w:trPr>
          <w:trHeight w:val="112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12E35E95" w14:textId="40446897" w:rsidR="007428BC" w:rsidRPr="007428BC" w:rsidRDefault="00307936" w:rsidP="00307936">
            <w:pPr>
              <w:spacing w:after="0" w:line="240" w:lineRule="auto"/>
              <w:jc w:val="center"/>
              <w:rPr>
                <w:rFonts w:ascii="Arial" w:eastAsia="Times New Roman" w:hAnsi="Arial" w:cs="Arial"/>
                <w:color w:val="000000"/>
                <w:lang w:eastAsia="pt-BR" w:bidi="kn-IN"/>
              </w:rPr>
            </w:pPr>
            <w:r>
              <w:rPr>
                <w:rFonts w:ascii="Arial" w:eastAsia="Times New Roman" w:hAnsi="Arial" w:cs="Arial"/>
                <w:color w:val="000000"/>
                <w:lang w:eastAsia="pt-BR" w:bidi="kn-IN"/>
              </w:rPr>
              <w:t>5</w:t>
            </w:r>
            <w:r w:rsidR="007428BC" w:rsidRPr="007428BC">
              <w:rPr>
                <w:rFonts w:ascii="Arial" w:eastAsia="Times New Roman" w:hAnsi="Arial" w:cs="Arial"/>
                <w:color w:val="000000"/>
                <w:lang w:eastAsia="pt-BR" w:bidi="kn-IN"/>
              </w:rPr>
              <w:t> </w:t>
            </w:r>
          </w:p>
        </w:tc>
        <w:tc>
          <w:tcPr>
            <w:tcW w:w="810" w:type="dxa"/>
            <w:tcBorders>
              <w:top w:val="nil"/>
              <w:left w:val="nil"/>
              <w:bottom w:val="single" w:sz="4" w:space="0" w:color="auto"/>
              <w:right w:val="single" w:sz="4" w:space="0" w:color="auto"/>
            </w:tcBorders>
            <w:shd w:val="clear" w:color="000000" w:fill="FFFFFF"/>
            <w:noWrap/>
            <w:vAlign w:val="center"/>
            <w:hideMark/>
          </w:tcPr>
          <w:p w14:paraId="37B02CB5"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5.1</w:t>
            </w:r>
          </w:p>
        </w:tc>
        <w:tc>
          <w:tcPr>
            <w:tcW w:w="8395" w:type="dxa"/>
            <w:tcBorders>
              <w:top w:val="nil"/>
              <w:left w:val="nil"/>
              <w:bottom w:val="single" w:sz="4" w:space="0" w:color="auto"/>
              <w:right w:val="single" w:sz="4" w:space="0" w:color="auto"/>
            </w:tcBorders>
            <w:shd w:val="clear" w:color="000000" w:fill="FFFFFF"/>
            <w:vAlign w:val="center"/>
            <w:hideMark/>
          </w:tcPr>
          <w:p w14:paraId="7CAFE687"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Cada instituição deve cadastrar no diretório de participantes os dados de contato de seus representantes para tratamento de incidentes com, no mínimo, e-mail, chaves criptográficas PGP (se houver) e campo para dados adicionais. Tais dados devem ser disponibilizados pelo diretório para acesso aos demais participantes.</w:t>
            </w:r>
          </w:p>
        </w:tc>
        <w:tc>
          <w:tcPr>
            <w:tcW w:w="1139" w:type="dxa"/>
            <w:tcBorders>
              <w:top w:val="nil"/>
              <w:left w:val="nil"/>
              <w:bottom w:val="single" w:sz="4" w:space="0" w:color="auto"/>
              <w:right w:val="single" w:sz="4" w:space="0" w:color="auto"/>
            </w:tcBorders>
            <w:shd w:val="clear" w:color="000000" w:fill="FFFFFF"/>
            <w:noWrap/>
            <w:vAlign w:val="center"/>
            <w:hideMark/>
          </w:tcPr>
          <w:p w14:paraId="032BD3E4"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52C4E67C"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32DBAEB0" w14:textId="1B6D3476"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r w:rsidR="00307936">
              <w:rPr>
                <w:rFonts w:ascii="Arial" w:eastAsia="Times New Roman" w:hAnsi="Arial" w:cs="Arial"/>
                <w:color w:val="000000"/>
                <w:lang w:eastAsia="pt-BR" w:bidi="kn-IN"/>
              </w:rPr>
              <w:t>5</w:t>
            </w:r>
          </w:p>
        </w:tc>
        <w:tc>
          <w:tcPr>
            <w:tcW w:w="810" w:type="dxa"/>
            <w:tcBorders>
              <w:top w:val="nil"/>
              <w:left w:val="nil"/>
              <w:bottom w:val="single" w:sz="4" w:space="0" w:color="auto"/>
              <w:right w:val="single" w:sz="4" w:space="0" w:color="auto"/>
            </w:tcBorders>
            <w:shd w:val="clear" w:color="000000" w:fill="FFFFFF"/>
            <w:noWrap/>
            <w:vAlign w:val="center"/>
            <w:hideMark/>
          </w:tcPr>
          <w:p w14:paraId="30C95F85"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5.2</w:t>
            </w:r>
          </w:p>
        </w:tc>
        <w:tc>
          <w:tcPr>
            <w:tcW w:w="8395" w:type="dxa"/>
            <w:tcBorders>
              <w:top w:val="nil"/>
              <w:left w:val="nil"/>
              <w:bottom w:val="single" w:sz="4" w:space="0" w:color="auto"/>
              <w:right w:val="single" w:sz="4" w:space="0" w:color="auto"/>
            </w:tcBorders>
            <w:shd w:val="clear" w:color="000000" w:fill="FFFFFF"/>
            <w:vAlign w:val="center"/>
            <w:hideMark/>
          </w:tcPr>
          <w:p w14:paraId="38623308"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 xml:space="preserve">Cada instituição deve disponibilizar os contatos de e-mail das equipes de segurança conforme a RFC 2142 (abuse e </w:t>
            </w:r>
            <w:proofErr w:type="spellStart"/>
            <w:r w:rsidRPr="007428BC">
              <w:rPr>
                <w:rFonts w:ascii="Arial" w:eastAsia="Times New Roman" w:hAnsi="Arial" w:cs="Arial"/>
                <w:color w:val="000000"/>
                <w:lang w:eastAsia="pt-BR" w:bidi="kn-IN"/>
              </w:rPr>
              <w:t>security</w:t>
            </w:r>
            <w:proofErr w:type="spellEnd"/>
            <w:r w:rsidRPr="007428BC">
              <w:rPr>
                <w:rFonts w:ascii="Arial" w:eastAsia="Times New Roman" w:hAnsi="Arial" w:cs="Arial"/>
                <w:color w:val="000000"/>
                <w:lang w:eastAsia="pt-BR" w:bidi="kn-IN"/>
              </w:rPr>
              <w:t>).</w:t>
            </w:r>
          </w:p>
        </w:tc>
        <w:tc>
          <w:tcPr>
            <w:tcW w:w="1139" w:type="dxa"/>
            <w:tcBorders>
              <w:top w:val="nil"/>
              <w:left w:val="nil"/>
              <w:bottom w:val="single" w:sz="4" w:space="0" w:color="auto"/>
              <w:right w:val="single" w:sz="4" w:space="0" w:color="auto"/>
            </w:tcBorders>
            <w:shd w:val="clear" w:color="000000" w:fill="FFFFFF"/>
            <w:noWrap/>
            <w:vAlign w:val="center"/>
            <w:hideMark/>
          </w:tcPr>
          <w:p w14:paraId="2A4C78D9"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17A2E85" w14:textId="77777777" w:rsidTr="00A9519A">
        <w:trPr>
          <w:trHeight w:val="56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66CB1217" w14:textId="478250E8"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r w:rsidR="00307936">
              <w:rPr>
                <w:rFonts w:ascii="Arial" w:eastAsia="Times New Roman" w:hAnsi="Arial" w:cs="Arial"/>
                <w:color w:val="000000"/>
                <w:lang w:eastAsia="pt-BR" w:bidi="kn-IN"/>
              </w:rPr>
              <w:t>5</w:t>
            </w:r>
          </w:p>
        </w:tc>
        <w:tc>
          <w:tcPr>
            <w:tcW w:w="810" w:type="dxa"/>
            <w:tcBorders>
              <w:top w:val="nil"/>
              <w:left w:val="nil"/>
              <w:bottom w:val="single" w:sz="4" w:space="0" w:color="auto"/>
              <w:right w:val="single" w:sz="4" w:space="0" w:color="auto"/>
            </w:tcBorders>
            <w:shd w:val="clear" w:color="000000" w:fill="FFFFFF"/>
            <w:noWrap/>
            <w:vAlign w:val="center"/>
            <w:hideMark/>
          </w:tcPr>
          <w:p w14:paraId="1781DD8A"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5.3</w:t>
            </w:r>
          </w:p>
        </w:tc>
        <w:tc>
          <w:tcPr>
            <w:tcW w:w="8395" w:type="dxa"/>
            <w:tcBorders>
              <w:top w:val="nil"/>
              <w:left w:val="nil"/>
              <w:bottom w:val="single" w:sz="4" w:space="0" w:color="auto"/>
              <w:right w:val="single" w:sz="4" w:space="0" w:color="auto"/>
            </w:tcBorders>
            <w:shd w:val="clear" w:color="000000" w:fill="FFFFFF"/>
            <w:vAlign w:val="center"/>
            <w:hideMark/>
          </w:tcPr>
          <w:p w14:paraId="6C1CC129"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O acesso às áreas restritas do diretório de participantes deve ser condicionado à autenticação por, no mínimo, dois fatores.</w:t>
            </w:r>
          </w:p>
        </w:tc>
        <w:tc>
          <w:tcPr>
            <w:tcW w:w="1139" w:type="dxa"/>
            <w:tcBorders>
              <w:top w:val="nil"/>
              <w:left w:val="nil"/>
              <w:bottom w:val="single" w:sz="4" w:space="0" w:color="auto"/>
              <w:right w:val="single" w:sz="4" w:space="0" w:color="auto"/>
            </w:tcBorders>
            <w:shd w:val="clear" w:color="000000" w:fill="FFFFFF"/>
            <w:noWrap/>
            <w:vAlign w:val="center"/>
            <w:hideMark/>
          </w:tcPr>
          <w:p w14:paraId="262B2D6B"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r w:rsidR="007428BC" w:rsidRPr="007428BC" w14:paraId="64C4E4F6" w14:textId="77777777" w:rsidTr="00A9519A">
        <w:trPr>
          <w:trHeight w:val="1400"/>
        </w:trPr>
        <w:tc>
          <w:tcPr>
            <w:tcW w:w="1002" w:type="dxa"/>
            <w:tcBorders>
              <w:top w:val="nil"/>
              <w:left w:val="single" w:sz="4" w:space="0" w:color="auto"/>
              <w:bottom w:val="single" w:sz="4" w:space="0" w:color="auto"/>
              <w:right w:val="single" w:sz="4" w:space="0" w:color="auto"/>
            </w:tcBorders>
            <w:shd w:val="clear" w:color="000000" w:fill="FFFFFF"/>
            <w:noWrap/>
            <w:vAlign w:val="center"/>
            <w:hideMark/>
          </w:tcPr>
          <w:p w14:paraId="27579D8D" w14:textId="6D66BD6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r w:rsidR="00307936">
              <w:rPr>
                <w:rFonts w:ascii="Arial" w:eastAsia="Times New Roman" w:hAnsi="Arial" w:cs="Arial"/>
                <w:color w:val="000000"/>
                <w:lang w:eastAsia="pt-BR" w:bidi="kn-IN"/>
              </w:rPr>
              <w:t>5</w:t>
            </w:r>
          </w:p>
        </w:tc>
        <w:tc>
          <w:tcPr>
            <w:tcW w:w="810" w:type="dxa"/>
            <w:tcBorders>
              <w:top w:val="nil"/>
              <w:left w:val="nil"/>
              <w:bottom w:val="single" w:sz="4" w:space="0" w:color="auto"/>
              <w:right w:val="single" w:sz="4" w:space="0" w:color="auto"/>
            </w:tcBorders>
            <w:shd w:val="clear" w:color="000000" w:fill="FFFFFF"/>
            <w:noWrap/>
            <w:vAlign w:val="center"/>
            <w:hideMark/>
          </w:tcPr>
          <w:p w14:paraId="67440003"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5.4</w:t>
            </w:r>
          </w:p>
        </w:tc>
        <w:tc>
          <w:tcPr>
            <w:tcW w:w="8395" w:type="dxa"/>
            <w:tcBorders>
              <w:top w:val="nil"/>
              <w:left w:val="nil"/>
              <w:bottom w:val="single" w:sz="4" w:space="0" w:color="auto"/>
              <w:right w:val="single" w:sz="4" w:space="0" w:color="auto"/>
            </w:tcBorders>
            <w:shd w:val="clear" w:color="000000" w:fill="FFFFFF"/>
            <w:vAlign w:val="center"/>
            <w:hideMark/>
          </w:tcPr>
          <w:p w14:paraId="36C17278" w14:textId="77777777" w:rsidR="007428BC" w:rsidRPr="007428BC" w:rsidRDefault="007428BC" w:rsidP="007428BC">
            <w:pPr>
              <w:spacing w:after="0" w:line="240" w:lineRule="auto"/>
              <w:rPr>
                <w:rFonts w:ascii="Arial" w:eastAsia="Times New Roman" w:hAnsi="Arial" w:cs="Arial"/>
                <w:color w:val="000000"/>
                <w:lang w:eastAsia="pt-BR" w:bidi="kn-IN"/>
              </w:rPr>
            </w:pPr>
            <w:r w:rsidRPr="007428BC">
              <w:rPr>
                <w:rFonts w:ascii="Arial" w:eastAsia="Times New Roman" w:hAnsi="Arial" w:cs="Arial"/>
                <w:color w:val="000000"/>
                <w:lang w:eastAsia="pt-BR" w:bidi="kn-IN"/>
              </w:rPr>
              <w:t xml:space="preserve">Os acessos ao diretório devem ser registrados em trilhas de auditoria, que devem conter, no mínimo, data e hora do acesso na </w:t>
            </w:r>
            <w:proofErr w:type="spellStart"/>
            <w:r w:rsidRPr="007428BC">
              <w:rPr>
                <w:rFonts w:ascii="Arial" w:eastAsia="Times New Roman" w:hAnsi="Arial" w:cs="Arial"/>
                <w:color w:val="000000"/>
                <w:lang w:eastAsia="pt-BR" w:bidi="kn-IN"/>
              </w:rPr>
              <w:t>timezone</w:t>
            </w:r>
            <w:proofErr w:type="spellEnd"/>
            <w:r w:rsidRPr="007428BC">
              <w:rPr>
                <w:rFonts w:ascii="Arial" w:eastAsia="Times New Roman" w:hAnsi="Arial" w:cs="Arial"/>
                <w:color w:val="000000"/>
                <w:lang w:eastAsia="pt-BR" w:bidi="kn-IN"/>
              </w:rPr>
              <w:t xml:space="preserve"> UTC, endereço IP de origem da chamada, porta de comunicação origem da chamada (porta TCP do cliente), URI acessada, método HTTP utilizado e status de retorno, observada a legislação e a regulamentação vigentes.</w:t>
            </w:r>
          </w:p>
        </w:tc>
        <w:tc>
          <w:tcPr>
            <w:tcW w:w="1139" w:type="dxa"/>
            <w:tcBorders>
              <w:top w:val="nil"/>
              <w:left w:val="nil"/>
              <w:bottom w:val="single" w:sz="4" w:space="0" w:color="auto"/>
              <w:right w:val="single" w:sz="4" w:space="0" w:color="auto"/>
            </w:tcBorders>
            <w:shd w:val="clear" w:color="000000" w:fill="FFFFFF"/>
            <w:noWrap/>
            <w:vAlign w:val="center"/>
            <w:hideMark/>
          </w:tcPr>
          <w:p w14:paraId="36513757" w14:textId="77777777" w:rsidR="007428BC" w:rsidRPr="007428BC" w:rsidRDefault="007428BC" w:rsidP="007428BC">
            <w:pPr>
              <w:spacing w:after="0" w:line="240" w:lineRule="auto"/>
              <w:jc w:val="center"/>
              <w:rPr>
                <w:rFonts w:ascii="Arial" w:eastAsia="Times New Roman" w:hAnsi="Arial" w:cs="Arial"/>
                <w:color w:val="000000"/>
                <w:lang w:eastAsia="pt-BR" w:bidi="kn-IN"/>
              </w:rPr>
            </w:pPr>
            <w:r w:rsidRPr="007428BC">
              <w:rPr>
                <w:rFonts w:ascii="Arial" w:eastAsia="Times New Roman" w:hAnsi="Arial" w:cs="Arial"/>
                <w:color w:val="000000"/>
                <w:lang w:eastAsia="pt-BR" w:bidi="kn-IN"/>
              </w:rPr>
              <w:t> </w:t>
            </w:r>
          </w:p>
        </w:tc>
      </w:tr>
    </w:tbl>
    <w:p w14:paraId="08B6040E" w14:textId="77777777" w:rsidR="00FE3053" w:rsidRDefault="00FE3053" w:rsidP="00FE3053"/>
    <w:p w14:paraId="74DC9433" w14:textId="226F0401" w:rsidR="006D19CB" w:rsidRPr="009813EA" w:rsidRDefault="004974AB" w:rsidP="00FE3053">
      <w:pPr>
        <w:rPr>
          <w:b/>
          <w:bCs/>
          <w:sz w:val="24"/>
          <w:szCs w:val="24"/>
        </w:rPr>
      </w:pPr>
      <w:r w:rsidRPr="009813EA">
        <w:rPr>
          <w:b/>
          <w:bCs/>
          <w:sz w:val="24"/>
          <w:szCs w:val="24"/>
        </w:rPr>
        <w:t>Nível de aderência:</w:t>
      </w:r>
    </w:p>
    <w:p w14:paraId="17F9685E" w14:textId="3280E669" w:rsidR="004974AB" w:rsidRDefault="004974AB" w:rsidP="00FE3053">
      <w:pPr>
        <w:rPr>
          <w:b/>
          <w:bCs/>
        </w:rPr>
      </w:pPr>
      <w:r w:rsidRPr="004974AB">
        <w:rPr>
          <w:noProof/>
        </w:rPr>
        <w:drawing>
          <wp:inline distT="0" distB="0" distL="0" distR="0" wp14:anchorId="47B3EF98" wp14:editId="110A643C">
            <wp:extent cx="1936750" cy="1111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6750" cy="1111250"/>
                    </a:xfrm>
                    <a:prstGeom prst="rect">
                      <a:avLst/>
                    </a:prstGeom>
                    <a:noFill/>
                    <a:ln>
                      <a:noFill/>
                    </a:ln>
                  </pic:spPr>
                </pic:pic>
              </a:graphicData>
            </a:graphic>
          </wp:inline>
        </w:drawing>
      </w:r>
    </w:p>
    <w:p w14:paraId="161420D7" w14:textId="1D3C91A7" w:rsidR="00895AF5" w:rsidRDefault="00895AF5" w:rsidP="00FE3053">
      <w:pPr>
        <w:rPr>
          <w:b/>
          <w:bCs/>
        </w:rPr>
      </w:pPr>
    </w:p>
    <w:p w14:paraId="37AC7A54" w14:textId="6EDDA701" w:rsidR="00895AF5" w:rsidRDefault="00895AF5" w:rsidP="00FE3053">
      <w:pPr>
        <w:rPr>
          <w:b/>
          <w:bCs/>
        </w:rPr>
      </w:pPr>
    </w:p>
    <w:p w14:paraId="485CBDEF" w14:textId="28EF5B4F" w:rsidR="00895AF5" w:rsidRDefault="00895AF5" w:rsidP="00FE3053">
      <w:pPr>
        <w:rPr>
          <w:b/>
          <w:bCs/>
        </w:rPr>
      </w:pPr>
    </w:p>
    <w:p w14:paraId="018EA53E" w14:textId="77777777" w:rsidR="00895AF5" w:rsidRPr="004974AB" w:rsidRDefault="00895AF5" w:rsidP="00FE3053">
      <w:pPr>
        <w:rPr>
          <w:b/>
          <w:bCs/>
        </w:rPr>
      </w:pPr>
    </w:p>
    <w:sectPr w:rsidR="00895AF5" w:rsidRPr="00497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23805"/>
    <w:multiLevelType w:val="hybridMultilevel"/>
    <w:tmpl w:val="B2225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5C"/>
    <w:rsid w:val="00056A5C"/>
    <w:rsid w:val="0008010E"/>
    <w:rsid w:val="000A55EE"/>
    <w:rsid w:val="00153CF0"/>
    <w:rsid w:val="0017127B"/>
    <w:rsid w:val="001A7787"/>
    <w:rsid w:val="00260569"/>
    <w:rsid w:val="002C1E33"/>
    <w:rsid w:val="00307936"/>
    <w:rsid w:val="00314296"/>
    <w:rsid w:val="003E4F44"/>
    <w:rsid w:val="00441F8C"/>
    <w:rsid w:val="0045252A"/>
    <w:rsid w:val="00475A76"/>
    <w:rsid w:val="004974AB"/>
    <w:rsid w:val="00535F8E"/>
    <w:rsid w:val="005839AB"/>
    <w:rsid w:val="006D19CB"/>
    <w:rsid w:val="007428BC"/>
    <w:rsid w:val="00894A0B"/>
    <w:rsid w:val="00895AF5"/>
    <w:rsid w:val="008F650A"/>
    <w:rsid w:val="009813EA"/>
    <w:rsid w:val="009F07EC"/>
    <w:rsid w:val="00A065C8"/>
    <w:rsid w:val="00A9519A"/>
    <w:rsid w:val="00AF16C5"/>
    <w:rsid w:val="00B1198D"/>
    <w:rsid w:val="00B53F10"/>
    <w:rsid w:val="00B8214D"/>
    <w:rsid w:val="00BE7A27"/>
    <w:rsid w:val="00C12CDF"/>
    <w:rsid w:val="00D077E6"/>
    <w:rsid w:val="00D96E6C"/>
    <w:rsid w:val="00DF3ACB"/>
    <w:rsid w:val="00EE24E6"/>
    <w:rsid w:val="00F90AFD"/>
    <w:rsid w:val="00FC1B20"/>
    <w:rsid w:val="00FE3053"/>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6D8F"/>
  <w15:chartTrackingRefBased/>
  <w15:docId w15:val="{9A2F1D0D-46DD-42C2-A474-36006ADE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A5C"/>
    <w:pPr>
      <w:keepNext/>
      <w:keepLines/>
      <w:pBdr>
        <w:bottom w:val="single" w:sz="4" w:space="1" w:color="4472C4" w:themeColor="accent1"/>
      </w:pBdr>
      <w:spacing w:before="400" w:after="40" w:line="240" w:lineRule="auto"/>
      <w:jc w:val="both"/>
      <w:outlineLvl w:val="0"/>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A5C"/>
    <w:rPr>
      <w:rFonts w:ascii="Segoe UI" w:hAnsi="Segoe UI" w:cs="Segoe UI"/>
      <w:sz w:val="18"/>
      <w:szCs w:val="18"/>
    </w:rPr>
  </w:style>
  <w:style w:type="character" w:customStyle="1" w:styleId="Heading1Char">
    <w:name w:val="Heading 1 Char"/>
    <w:basedOn w:val="DefaultParagraphFont"/>
    <w:link w:val="Heading1"/>
    <w:uiPriority w:val="9"/>
    <w:rsid w:val="00056A5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056A5C"/>
    <w:pPr>
      <w:ind w:left="720"/>
      <w:contextualSpacing/>
    </w:pPr>
  </w:style>
  <w:style w:type="character" w:styleId="CommentReference">
    <w:name w:val="annotation reference"/>
    <w:basedOn w:val="DefaultParagraphFont"/>
    <w:uiPriority w:val="99"/>
    <w:semiHidden/>
    <w:unhideWhenUsed/>
    <w:rsid w:val="0008010E"/>
    <w:rPr>
      <w:sz w:val="16"/>
      <w:szCs w:val="16"/>
    </w:rPr>
  </w:style>
  <w:style w:type="paragraph" w:styleId="CommentText">
    <w:name w:val="annotation text"/>
    <w:basedOn w:val="Normal"/>
    <w:link w:val="CommentTextChar"/>
    <w:uiPriority w:val="99"/>
    <w:semiHidden/>
    <w:unhideWhenUsed/>
    <w:rsid w:val="0008010E"/>
    <w:pPr>
      <w:spacing w:line="240" w:lineRule="auto"/>
    </w:pPr>
    <w:rPr>
      <w:sz w:val="20"/>
      <w:szCs w:val="20"/>
    </w:rPr>
  </w:style>
  <w:style w:type="character" w:customStyle="1" w:styleId="CommentTextChar">
    <w:name w:val="Comment Text Char"/>
    <w:basedOn w:val="DefaultParagraphFont"/>
    <w:link w:val="CommentText"/>
    <w:uiPriority w:val="99"/>
    <w:semiHidden/>
    <w:rsid w:val="000801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5302">
      <w:bodyDiv w:val="1"/>
      <w:marLeft w:val="0"/>
      <w:marRight w:val="0"/>
      <w:marTop w:val="0"/>
      <w:marBottom w:val="0"/>
      <w:divBdr>
        <w:top w:val="none" w:sz="0" w:space="0" w:color="auto"/>
        <w:left w:val="none" w:sz="0" w:space="0" w:color="auto"/>
        <w:bottom w:val="none" w:sz="0" w:space="0" w:color="auto"/>
        <w:right w:val="none" w:sz="0" w:space="0" w:color="auto"/>
      </w:divBdr>
    </w:div>
    <w:div w:id="101653446">
      <w:bodyDiv w:val="1"/>
      <w:marLeft w:val="0"/>
      <w:marRight w:val="0"/>
      <w:marTop w:val="0"/>
      <w:marBottom w:val="0"/>
      <w:divBdr>
        <w:top w:val="none" w:sz="0" w:space="0" w:color="auto"/>
        <w:left w:val="none" w:sz="0" w:space="0" w:color="auto"/>
        <w:bottom w:val="none" w:sz="0" w:space="0" w:color="auto"/>
        <w:right w:val="none" w:sz="0" w:space="0" w:color="auto"/>
      </w:divBdr>
    </w:div>
    <w:div w:id="183329858">
      <w:bodyDiv w:val="1"/>
      <w:marLeft w:val="0"/>
      <w:marRight w:val="0"/>
      <w:marTop w:val="0"/>
      <w:marBottom w:val="0"/>
      <w:divBdr>
        <w:top w:val="none" w:sz="0" w:space="0" w:color="auto"/>
        <w:left w:val="none" w:sz="0" w:space="0" w:color="auto"/>
        <w:bottom w:val="none" w:sz="0" w:space="0" w:color="auto"/>
        <w:right w:val="none" w:sz="0" w:space="0" w:color="auto"/>
      </w:divBdr>
    </w:div>
    <w:div w:id="280108718">
      <w:bodyDiv w:val="1"/>
      <w:marLeft w:val="0"/>
      <w:marRight w:val="0"/>
      <w:marTop w:val="0"/>
      <w:marBottom w:val="0"/>
      <w:divBdr>
        <w:top w:val="none" w:sz="0" w:space="0" w:color="auto"/>
        <w:left w:val="none" w:sz="0" w:space="0" w:color="auto"/>
        <w:bottom w:val="none" w:sz="0" w:space="0" w:color="auto"/>
        <w:right w:val="none" w:sz="0" w:space="0" w:color="auto"/>
      </w:divBdr>
    </w:div>
    <w:div w:id="297492629">
      <w:bodyDiv w:val="1"/>
      <w:marLeft w:val="0"/>
      <w:marRight w:val="0"/>
      <w:marTop w:val="0"/>
      <w:marBottom w:val="0"/>
      <w:divBdr>
        <w:top w:val="none" w:sz="0" w:space="0" w:color="auto"/>
        <w:left w:val="none" w:sz="0" w:space="0" w:color="auto"/>
        <w:bottom w:val="none" w:sz="0" w:space="0" w:color="auto"/>
        <w:right w:val="none" w:sz="0" w:space="0" w:color="auto"/>
      </w:divBdr>
    </w:div>
    <w:div w:id="385374080">
      <w:bodyDiv w:val="1"/>
      <w:marLeft w:val="0"/>
      <w:marRight w:val="0"/>
      <w:marTop w:val="0"/>
      <w:marBottom w:val="0"/>
      <w:divBdr>
        <w:top w:val="none" w:sz="0" w:space="0" w:color="auto"/>
        <w:left w:val="none" w:sz="0" w:space="0" w:color="auto"/>
        <w:bottom w:val="none" w:sz="0" w:space="0" w:color="auto"/>
        <w:right w:val="none" w:sz="0" w:space="0" w:color="auto"/>
      </w:divBdr>
    </w:div>
    <w:div w:id="443964302">
      <w:bodyDiv w:val="1"/>
      <w:marLeft w:val="0"/>
      <w:marRight w:val="0"/>
      <w:marTop w:val="0"/>
      <w:marBottom w:val="0"/>
      <w:divBdr>
        <w:top w:val="none" w:sz="0" w:space="0" w:color="auto"/>
        <w:left w:val="none" w:sz="0" w:space="0" w:color="auto"/>
        <w:bottom w:val="none" w:sz="0" w:space="0" w:color="auto"/>
        <w:right w:val="none" w:sz="0" w:space="0" w:color="auto"/>
      </w:divBdr>
    </w:div>
    <w:div w:id="471021286">
      <w:bodyDiv w:val="1"/>
      <w:marLeft w:val="0"/>
      <w:marRight w:val="0"/>
      <w:marTop w:val="0"/>
      <w:marBottom w:val="0"/>
      <w:divBdr>
        <w:top w:val="none" w:sz="0" w:space="0" w:color="auto"/>
        <w:left w:val="none" w:sz="0" w:space="0" w:color="auto"/>
        <w:bottom w:val="none" w:sz="0" w:space="0" w:color="auto"/>
        <w:right w:val="none" w:sz="0" w:space="0" w:color="auto"/>
      </w:divBdr>
    </w:div>
    <w:div w:id="786659294">
      <w:bodyDiv w:val="1"/>
      <w:marLeft w:val="0"/>
      <w:marRight w:val="0"/>
      <w:marTop w:val="0"/>
      <w:marBottom w:val="0"/>
      <w:divBdr>
        <w:top w:val="none" w:sz="0" w:space="0" w:color="auto"/>
        <w:left w:val="none" w:sz="0" w:space="0" w:color="auto"/>
        <w:bottom w:val="none" w:sz="0" w:space="0" w:color="auto"/>
        <w:right w:val="none" w:sz="0" w:space="0" w:color="auto"/>
      </w:divBdr>
    </w:div>
    <w:div w:id="1006978188">
      <w:bodyDiv w:val="1"/>
      <w:marLeft w:val="0"/>
      <w:marRight w:val="0"/>
      <w:marTop w:val="0"/>
      <w:marBottom w:val="0"/>
      <w:divBdr>
        <w:top w:val="none" w:sz="0" w:space="0" w:color="auto"/>
        <w:left w:val="none" w:sz="0" w:space="0" w:color="auto"/>
        <w:bottom w:val="none" w:sz="0" w:space="0" w:color="auto"/>
        <w:right w:val="none" w:sz="0" w:space="0" w:color="auto"/>
      </w:divBdr>
    </w:div>
    <w:div w:id="105168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1767</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GFT Technologies SE</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Juhani Pitkanen, Jesse</dc:creator>
  <cp:keywords/>
  <dc:description/>
  <cp:lastModifiedBy>Juhani Pitkanen, Jesse</cp:lastModifiedBy>
  <cp:revision>36</cp:revision>
  <dcterms:created xsi:type="dcterms:W3CDTF">2021-02-05T17:42:00Z</dcterms:created>
  <dcterms:modified xsi:type="dcterms:W3CDTF">2021-03-01T17:50:00Z</dcterms:modified>
</cp:coreProperties>
</file>