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03764"/>
          <w:sz w:val="72"/>
        </w:rPr>
        <w:t>VENTURA CAPITAL</w:t>
      </w:r>
    </w:p>
    <w:p>
      <w:pPr>
        <w:jc w:val="center"/>
      </w:pPr>
      <w:r>
        <w:rPr>
          <w:color w:val="808080"/>
          <w:sz w:val="36"/>
        </w:rPr>
        <w:t>KIT ESTRATÉGICO DE LEVANTAMIENTO DE CAPITAL</w:t>
      </w:r>
    </w:p>
    <w:p/>
    <w:p/>
    <w:p/>
    <w:p>
      <w:pPr>
        <w:jc w:val="center"/>
      </w:pPr>
      <w:r>
        <w:t>SaaS IA Marketing/Copywriting</w:t>
        <w:br/>
        <w:t>LATAM Market Entry</w:t>
        <w:br/>
        <w:br/>
        <w:t>Preparado para: Inversionistas Serie A</w:t>
        <w:br/>
        <w:t>Fecha: Diciembre 2024</w:t>
      </w:r>
    </w:p>
    <w:p>
      <w:r>
        <w:br w:type="page"/>
      </w:r>
    </w:p>
    <w:p>
      <w:pPr>
        <w:pStyle w:val="Title"/>
      </w:pPr>
      <w:r>
        <w:t>Índice de Contenidos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1134"/>
      </w:tblGrid>
      <w:tr>
        <w:tc>
          <w:tcPr>
            <w:tcW w:type="dxa" w:w="4536"/>
          </w:tcPr>
          <w:p>
            <w:r>
              <w:t>Sección</w:t>
            </w:r>
          </w:p>
        </w:tc>
        <w:tc>
          <w:tcPr>
            <w:tcW w:type="dxa" w:w="4536"/>
          </w:tcPr>
          <w:p>
            <w:r>
              <w:t>Pág.</w:t>
            </w:r>
          </w:p>
        </w:tc>
      </w:tr>
      <w:tr>
        <w:tc>
          <w:tcPr>
            <w:tcW w:type="dxa" w:w="7937"/>
          </w:tcPr>
          <w:p>
            <w:r>
              <w:t>1. Executive Summary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7937"/>
          </w:tcPr>
          <w:p>
            <w:r>
              <w:t>2. Due Diligence &amp; Risk Analysis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7937"/>
          </w:tcPr>
          <w:p>
            <w:r>
              <w:t>3. Term Sheet (Propuesta)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937"/>
          </w:tcPr>
          <w:p>
            <w:r>
              <w:t>4. Guiones de Negociación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937"/>
          </w:tcPr>
          <w:p>
            <w:r>
              <w:t>5. Anexos Legales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Este documento presenta la estrategia integral de levantamiento de capital para nuestra plataforma SaaS de IA. Incluye análisis de riesgos, estructuras legales propuestas y herramientas de negociación.</w:t>
      </w:r>
    </w:p>
    <w:p>
      <w:pPr>
        <w:pStyle w:val="Heading1"/>
      </w:pPr>
      <w:r>
        <w:t>2. Due Diligence &amp; Risk Analysis</w:t>
      </w:r>
    </w:p>
    <w:p>
      <w:r>
        <w:t>Matriz de riesgos identificados y estrategias de mitigación: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Categoría</w:t>
            </w:r>
          </w:p>
        </w:tc>
        <w:tc>
          <w:tcPr>
            <w:tcW w:type="dxa" w:w="3024"/>
          </w:tcPr>
          <w:p>
            <w:r>
              <w:t>Riesgo Identificado</w:t>
            </w:r>
          </w:p>
        </w:tc>
        <w:tc>
          <w:tcPr>
            <w:tcW w:type="dxa" w:w="3024"/>
          </w:tcPr>
          <w:p>
            <w:r>
              <w:t>Estrategia de Mitigación</w:t>
            </w:r>
          </w:p>
        </w:tc>
      </w:tr>
      <w:tr>
        <w:tc>
          <w:tcPr>
            <w:tcW w:type="dxa" w:w="3024"/>
          </w:tcPr>
          <w:p>
            <w:r>
              <w:t>Financiero</w:t>
            </w:r>
          </w:p>
        </w:tc>
        <w:tc>
          <w:tcPr>
            <w:tcW w:type="dxa" w:w="3024"/>
          </w:tcPr>
          <w:p>
            <w:r>
              <w:t>Falta de liquidez corto plazo</w:t>
            </w:r>
          </w:p>
        </w:tc>
        <w:tc>
          <w:tcPr>
            <w:tcW w:type="dxa" w:w="3024"/>
          </w:tcPr>
          <w:p>
            <w:r>
              <w:t>Línea de crédito puente $500k</w:t>
            </w:r>
          </w:p>
        </w:tc>
      </w:tr>
      <w:tr>
        <w:tc>
          <w:tcPr>
            <w:tcW w:type="dxa" w:w="3024"/>
          </w:tcPr>
          <w:p>
            <w:r>
              <w:t>Técnico</w:t>
            </w:r>
          </w:p>
        </w:tc>
        <w:tc>
          <w:tcPr>
            <w:tcW w:type="dxa" w:w="3024"/>
          </w:tcPr>
          <w:p>
            <w:r>
              <w:t>Dependencia de APIs externas</w:t>
            </w:r>
          </w:p>
        </w:tc>
        <w:tc>
          <w:tcPr>
            <w:tcW w:type="dxa" w:w="3024"/>
          </w:tcPr>
          <w:p>
            <w:r>
              <w:t>Desarrollo de modelos propios (Roadmap Q3)</w:t>
            </w:r>
          </w:p>
        </w:tc>
      </w:tr>
      <w:tr>
        <w:tc>
          <w:tcPr>
            <w:tcW w:type="dxa" w:w="3024"/>
          </w:tcPr>
          <w:p>
            <w:r>
              <w:t>Legal</w:t>
            </w:r>
          </w:p>
        </w:tc>
        <w:tc>
          <w:tcPr>
            <w:tcW w:type="dxa" w:w="3024"/>
          </w:tcPr>
          <w:p>
            <w:r>
              <w:t>Regulación de IA en LATAM</w:t>
            </w:r>
          </w:p>
        </w:tc>
        <w:tc>
          <w:tcPr>
            <w:tcW w:type="dxa" w:w="3024"/>
          </w:tcPr>
          <w:p>
            <w:r>
              <w:t>Compliance proactivo y auditoría legal</w:t>
            </w:r>
          </w:p>
        </w:tc>
      </w:tr>
      <w:tr>
        <w:tc>
          <w:tcPr>
            <w:tcW w:type="dxa" w:w="3024"/>
          </w:tcPr>
          <w:p>
            <w:r>
              <w:t>Mercado</w:t>
            </w:r>
          </w:p>
        </w:tc>
        <w:tc>
          <w:tcPr>
            <w:tcW w:type="dxa" w:w="3024"/>
          </w:tcPr>
          <w:p>
            <w:r>
              <w:t>Entrada de competidores US</w:t>
            </w:r>
          </w:p>
        </w:tc>
        <w:tc>
          <w:tcPr>
            <w:tcW w:type="dxa" w:w="3024"/>
          </w:tcPr>
          <w:p>
            <w:r>
              <w:t>Foco en localización cultural profunda</w:t>
            </w:r>
          </w:p>
        </w:tc>
      </w:tr>
    </w:tbl>
    <w:p>
      <w:r>
        <w:br w:type="page"/>
      </w:r>
    </w:p>
    <w:p>
      <w:pPr>
        <w:pStyle w:val="Heading1"/>
      </w:pPr>
      <w:r>
        <w:t>3. Term Sheet (Propuesta)</w:t>
      </w:r>
    </w:p>
    <w:p>
      <w:r>
        <w:t>Términos clave para la ronda de inversión Series 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b/>
              </w:rPr>
              <w:t>Investment Amount</w:t>
            </w:r>
          </w:p>
        </w:tc>
        <w:tc>
          <w:tcPr>
            <w:tcW w:type="dxa" w:w="4536"/>
          </w:tcPr>
          <w:p>
            <w:r>
              <w:t>$2,000,000 USD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Pre-money Valuation</w:t>
            </w:r>
          </w:p>
        </w:tc>
        <w:tc>
          <w:tcPr>
            <w:tcW w:type="dxa" w:w="4536"/>
          </w:tcPr>
          <w:p>
            <w:r>
              <w:t>$8,000,000 USD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4536"/>
          </w:tcPr>
          <w:p>
            <w:r>
              <w:t>Preferred Stock (Series A)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Liquidation Pref.</w:t>
            </w:r>
          </w:p>
        </w:tc>
        <w:tc>
          <w:tcPr>
            <w:tcW w:type="dxa" w:w="4536"/>
          </w:tcPr>
          <w:p>
            <w:r>
              <w:t>1x Non-participating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Board Seats</w:t>
            </w:r>
          </w:p>
        </w:tc>
        <w:tc>
          <w:tcPr>
            <w:tcW w:type="dxa" w:w="4536"/>
          </w:tcPr>
          <w:p>
            <w:r>
              <w:t>2 Founders, 1 Investor, 1 Independent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ESOP Pool</w:t>
            </w:r>
          </w:p>
        </w:tc>
        <w:tc>
          <w:tcPr>
            <w:tcW w:type="dxa" w:w="4536"/>
          </w:tcPr>
          <w:p>
            <w:r>
              <w:t>10% Post-money</w:t>
            </w:r>
          </w:p>
        </w:tc>
      </w:tr>
    </w:tbl>
    <w:p>
      <w:pPr>
        <w:pStyle w:val="Heading1"/>
      </w:pPr>
      <w:r>
        <w:t>4. Guiones de Negociación</w:t>
      </w:r>
    </w:p>
    <w:p>
      <w:pPr>
        <w:pStyle w:val="Heading2"/>
      </w:pPr>
      <w:r>
        <w:t>Escenario: Valuación</w:t>
      </w:r>
    </w:p>
    <w:p>
      <w:r>
        <w:rPr>
          <w:b/>
        </w:rPr>
        <w:t xml:space="preserve">Inversionista: </w:t>
      </w:r>
      <w:r>
        <w:t>"La valuación de $10M nos parece alta dado el MRR actual."</w:t>
      </w:r>
    </w:p>
    <w:p>
      <w:pPr>
        <w:ind w:left="567"/>
      </w:pPr>
      <w:r>
        <w:rPr>
          <w:b/>
        </w:rPr>
        <w:t xml:space="preserve">Respuesta Sugerida: </w:t>
      </w:r>
      <w:r>
        <w:rPr>
          <w:i/>
        </w:rPr>
        <w:t>"Entendemos el punto. Sin embargo, si miramos los comparables de SaaS vertical en LATAM y nuestra tasa de crecimiento del 20% MoM, el múltiplo está justificado. Estamos dispuestos a ajustar si estructuramos un earn-out basado en hitos de Q4."</w:t>
      </w:r>
    </w:p>
    <w:p>
      <w:pPr>
        <w:pStyle w:val="Heading2"/>
      </w:pPr>
      <w:r>
        <w:t>Escenario: Control del Board</w:t>
      </w:r>
    </w:p>
    <w:p>
      <w:r>
        <w:rPr>
          <w:b/>
        </w:rPr>
        <w:t xml:space="preserve">Inversionista: </w:t>
      </w:r>
      <w:r>
        <w:t>"Queremos 2 asientos en el board para tener mayor control."</w:t>
      </w:r>
    </w:p>
    <w:p>
      <w:pPr>
        <w:ind w:left="567"/>
      </w:pPr>
      <w:r>
        <w:rPr>
          <w:b/>
        </w:rPr>
        <w:t xml:space="preserve">Respuesta Sugerida: </w:t>
      </w:r>
      <w:r>
        <w:rPr>
          <w:i/>
        </w:rPr>
        <w:t>"Valoramos su experiencia operativa. Nuestra propuesta es mantener el board ágil con 1 asiento de inversionista y 1 independiente de mutuo acuerdo, lo cual alinea incentivos sin burocratizar la ejecución."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Ventura Capital - Confidencial - 2024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0376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