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color w:val="808080"/>
          <w:sz w:val="48"/>
        </w:rPr>
        <w:t>INVESTMENT MEMORANDUM</w:t>
      </w:r>
    </w:p>
    <w:p>
      <w:r>
        <w:t>To: Investment Committee</w:t>
        <w:br/>
        <w:t>From: Deal Team</w:t>
        <w:br/>
        <w:t>Date: December 2024</w:t>
        <w:br/>
        <w:t>Subject: Series A Investment in Ventura Capital</w:t>
      </w:r>
    </w:p>
    <w:p>
      <w:r>
        <w:t>________________________________________________________________________________</w:t>
      </w:r>
    </w:p>
    <w:p>
      <w:pPr>
        <w:pStyle w:val="Heading1"/>
      </w:pPr>
      <w:r>
        <w:t>1. Executive Summary</w:t>
      </w:r>
    </w:p>
    <w:p>
      <w:r>
        <w:t>Ventura Capital es una plataforma SaaS B2B de IA Generativa especializada en la creación de contenido de marketing para el mercado latinoamericano. La compañía ha demostrado una fuerte tracción temprana con $139k de ARR, creciendo 20% mes a mes, y unit economics saludables (LTV/CAC 9:1).</w:t>
      </w:r>
    </w:p>
    <w:p>
      <w:r>
        <w:t>Recomendación: Inversión de $2.0M a una valuación pre-money de $8.0M para capturar el liderazgo en un mercado de $2.8B.</w:t>
      </w:r>
    </w:p>
    <w:p>
      <w:pPr>
        <w:pStyle w:val="Heading1"/>
      </w:pPr>
      <w:r>
        <w:t>2. Market Opportunity</w:t>
      </w:r>
    </w:p>
    <w:p>
      <w:pPr>
        <w:pStyle w:val="Heading2"/>
      </w:pPr>
      <w:r>
        <w:t>The Problem</w:t>
      </w:r>
    </w:p>
    <w:p>
      <w:r>
        <w:t>Las herramientas actuales (Jasper, Copy.ai) son anglocéntricas y carecen de matices culturales locales, resultando en contenido genérico que no convierte en LATAM. Las agencias tradicionales son lentas y costosas.</w:t>
      </w:r>
    </w:p>
    <w:p>
      <w:pPr>
        <w:pStyle w:val="Heading2"/>
      </w:pPr>
      <w:r>
        <w:t>The Solution</w:t>
      </w:r>
    </w:p>
    <w:p>
      <w:r>
        <w:t>Modelos de lenguaje (LLMs) fine-tuned con datasets propietarios de dialectos regionales (español mexicano, rioplatense, andino, etc.) y contextos culturales específicos.</w:t>
      </w:r>
    </w:p>
    <w:p>
      <w:pPr>
        <w:pStyle w:val="Heading2"/>
      </w:pPr>
      <w:r>
        <w:t>Market Size</w:t>
      </w:r>
    </w:p>
    <w:p>
      <w:r>
        <w:t>• TAM: $2.8B (Gasto en MarTech y Contenido Digital en LATAM)</w:t>
      </w:r>
    </w:p>
    <w:p>
      <w:r>
        <w:t>• SAM: $280M (Empresas Digitales y E-commerce)</w:t>
      </w:r>
    </w:p>
    <w:p>
      <w:r>
        <w:t>• SOM: $28M (Objetivo 3 años)</w:t>
      </w:r>
    </w:p>
    <w:p>
      <w:pPr>
        <w:pStyle w:val="Heading1"/>
      </w:pPr>
      <w:r>
        <w:t>3. Product &amp; Technology</w:t>
      </w:r>
    </w:p>
    <w:p>
      <w:r>
        <w:t>Tech Stack: Python/FastAPI backend, React frontend, PyTorch para inferencia de modelos. Infraestructura en AWS (GPU instances).</w:t>
      </w:r>
    </w:p>
    <w:p>
      <w:r>
        <w:t>Moat Tecnológico: Dataset propietario de 50M+ ejemplos de copy de alta conversión en LATAM, inalcanzable para competidores globales sin esfuerzo manual masivo.</w:t>
      </w:r>
    </w:p>
    <w:p>
      <w:pPr>
        <w:pStyle w:val="Heading1"/>
      </w:pPr>
      <w:r>
        <w:t>4. Go-to-Market Strategy</w:t>
      </w:r>
    </w:p>
    <w:p>
      <w:r>
        <w:t>• Direct Sales: Equipo de ventas outbound enfocado en Agencias de Marketing (ticket alto).</w:t>
      </w:r>
    </w:p>
    <w:p>
      <w:r>
        <w:t>• Product-Led Growth (PLG): Freemium tier para solopreneurs y creadores de contenido.</w:t>
      </w:r>
    </w:p>
    <w:p>
      <w:r>
        <w:t>• Partnerships: Integración con TiendaNube y MercadoLibre para adquirir e-commerce merchants.</w:t>
      </w:r>
    </w:p>
    <w:p>
      <w:pPr>
        <w:pStyle w:val="Heading1"/>
      </w:pPr>
      <w:r>
        <w:t>5. Financial Plan</w:t>
      </w:r>
    </w:p>
    <w:tbl>
      <w:tblPr>
        <w:tblStyle w:val="LightShading-Accent1"/>
        <w:tblW w:type="auto" w:w="0"/>
        <w:tblLook w:firstColumn="1" w:firstRow="1" w:lastColumn="0" w:lastRow="0" w:noHBand="0" w:noVBand="1" w:val="04A0"/>
      </w:tblPr>
      <w:tblGrid>
        <w:gridCol w:w="2351"/>
        <w:gridCol w:w="2351"/>
        <w:gridCol w:w="2351"/>
        <w:gridCol w:w="2351"/>
      </w:tblGrid>
      <w:tr>
        <w:tc>
          <w:tcPr>
            <w:tcW w:type="dxa" w:w="2351"/>
          </w:tcPr>
          <w:p>
            <w:r>
              <w:t>Metric</w:t>
            </w:r>
          </w:p>
        </w:tc>
        <w:tc>
          <w:tcPr>
            <w:tcW w:type="dxa" w:w="2351"/>
          </w:tcPr>
          <w:p>
            <w:r>
              <w:t>2024 (Act)</w:t>
            </w:r>
          </w:p>
        </w:tc>
        <w:tc>
          <w:tcPr>
            <w:tcW w:type="dxa" w:w="2351"/>
          </w:tcPr>
          <w:p>
            <w:r>
              <w:t>2025 (Proj)</w:t>
            </w:r>
          </w:p>
        </w:tc>
        <w:tc>
          <w:tcPr>
            <w:tcW w:type="dxa" w:w="2351"/>
          </w:tcPr>
          <w:p>
            <w:r>
              <w:t>2026 (Proj)</w:t>
            </w:r>
          </w:p>
        </w:tc>
      </w:tr>
      <w:tr>
        <w:tc>
          <w:tcPr>
            <w:tcW w:type="dxa" w:w="2351"/>
          </w:tcPr>
          <w:p/>
        </w:tc>
        <w:tc>
          <w:tcPr>
            <w:tcW w:type="dxa" w:w="2351"/>
          </w:tcPr>
          <w:p/>
        </w:tc>
        <w:tc>
          <w:tcPr>
            <w:tcW w:type="dxa" w:w="2351"/>
          </w:tcPr>
          <w:p/>
        </w:tc>
        <w:tc>
          <w:tcPr>
            <w:tcW w:type="dxa" w:w="2351"/>
          </w:tcPr>
          <w:p/>
        </w:tc>
      </w:tr>
      <w:tr>
        <w:tc>
          <w:tcPr>
            <w:tcW w:type="dxa" w:w="2351"/>
          </w:tcPr>
          <w:p/>
        </w:tc>
        <w:tc>
          <w:tcPr>
            <w:tcW w:type="dxa" w:w="2351"/>
          </w:tcPr>
          <w:p/>
        </w:tc>
        <w:tc>
          <w:tcPr>
            <w:tcW w:type="dxa" w:w="2351"/>
          </w:tcPr>
          <w:p/>
        </w:tc>
        <w:tc>
          <w:tcPr>
            <w:tcW w:type="dxa" w:w="2351"/>
          </w:tcPr>
          <w:p/>
        </w:tc>
      </w:tr>
      <w:tr>
        <w:tc>
          <w:tcPr>
            <w:tcW w:type="dxa" w:w="2351"/>
          </w:tcPr>
          <w:p/>
        </w:tc>
        <w:tc>
          <w:tcPr>
            <w:tcW w:type="dxa" w:w="2351"/>
          </w:tcPr>
          <w:p/>
        </w:tc>
        <w:tc>
          <w:tcPr>
            <w:tcW w:type="dxa" w:w="2351"/>
          </w:tcPr>
          <w:p/>
        </w:tc>
        <w:tc>
          <w:tcPr>
            <w:tcW w:type="dxa" w:w="2351"/>
          </w:tcPr>
          <w:p/>
        </w:tc>
      </w:tr>
      <w:tr>
        <w:tc>
          <w:tcPr>
            <w:tcW w:type="dxa" w:w="2351"/>
          </w:tcPr>
          <w:p>
            <w:r>
              <w:t>ARR</w:t>
            </w:r>
          </w:p>
        </w:tc>
        <w:tc>
          <w:tcPr>
            <w:tcW w:type="dxa" w:w="2351"/>
          </w:tcPr>
          <w:p>
            <w:r>
              <w:t>$139k</w:t>
            </w:r>
          </w:p>
        </w:tc>
        <w:tc>
          <w:tcPr>
            <w:tcW w:type="dxa" w:w="2351"/>
          </w:tcPr>
          <w:p>
            <w:r>
              <w:t>$1.46M</w:t>
            </w:r>
          </w:p>
        </w:tc>
        <w:tc>
          <w:tcPr>
            <w:tcW w:type="dxa" w:w="2351"/>
          </w:tcPr>
          <w:p>
            <w:r>
              <w:t>$3.6M</w:t>
            </w:r>
          </w:p>
        </w:tc>
      </w:tr>
      <w:tr>
        <w:tc>
          <w:tcPr>
            <w:tcW w:type="dxa" w:w="2351"/>
          </w:tcPr>
          <w:p>
            <w:r>
              <w:t>EBITDA</w:t>
            </w:r>
          </w:p>
        </w:tc>
        <w:tc>
          <w:tcPr>
            <w:tcW w:type="dxa" w:w="2351"/>
          </w:tcPr>
          <w:p>
            <w:r>
              <w:t>($865k)</w:t>
            </w:r>
          </w:p>
        </w:tc>
        <w:tc>
          <w:tcPr>
            <w:tcW w:type="dxa" w:w="2351"/>
          </w:tcPr>
          <w:p>
            <w:r>
              <w:t>($350k)</w:t>
            </w:r>
          </w:p>
        </w:tc>
        <w:tc>
          <w:tcPr>
            <w:tcW w:type="dxa" w:w="2351"/>
          </w:tcPr>
          <w:p>
            <w:r>
              <w:t>$1.6M</w:t>
            </w:r>
          </w:p>
        </w:tc>
      </w:tr>
      <w:tr>
        <w:tc>
          <w:tcPr>
            <w:tcW w:type="dxa" w:w="2351"/>
          </w:tcPr>
          <w:p>
            <w:r>
              <w:t>Customers</w:t>
            </w:r>
          </w:p>
        </w:tc>
        <w:tc>
          <w:tcPr>
            <w:tcW w:type="dxa" w:w="2351"/>
          </w:tcPr>
          <w:p>
            <w:r>
              <w:t>500</w:t>
            </w:r>
          </w:p>
        </w:tc>
        <w:tc>
          <w:tcPr>
            <w:tcW w:type="dxa" w:w="2351"/>
          </w:tcPr>
          <w:p>
            <w:r>
              <w:t>2,500</w:t>
            </w:r>
          </w:p>
        </w:tc>
        <w:tc>
          <w:tcPr>
            <w:tcW w:type="dxa" w:w="2351"/>
          </w:tcPr>
          <w:p>
            <w:r>
              <w:t>8,000</w:t>
            </w:r>
          </w:p>
        </w:tc>
      </w:tr>
    </w:tbl>
    <w:p>
      <w:pPr>
        <w:pStyle w:val="Heading1"/>
      </w:pPr>
      <w:r>
        <w:t>6. Key Risks &amp; Mitigations</w:t>
      </w:r>
    </w:p>
    <w:p>
      <w:r>
        <w:t>• Riesgo de Plataforma: Dependencia de modelos base (GPT/Llama). Mitigación: Desarrollo de modelos propios verticales.</w:t>
      </w:r>
    </w:p>
    <w:p>
      <w:r>
        <w:t>• Competencia: Entrada agresiva de jugadores US. Mitigación: Fuerte efecto de red de datos locales y alianzas regionales.</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03764"/>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F75B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