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CTitle"/>
        <w:jc w:val="center"/>
      </w:pPr>
      <w:r>
        <w:t>VENTURA CAPITAL</w:t>
      </w:r>
    </w:p>
    <w:p>
      <w:pPr>
        <w:pStyle w:val="Subtitle"/>
        <w:jc w:val="center"/>
      </w:pPr>
      <w:r>
        <w:t>EXIT STRATEGY &amp; M&amp;A LANDSCAPE</w:t>
      </w:r>
    </w:p>
    <w:p>
      <w:pPr>
        <w:jc w:val="center"/>
      </w:pPr>
      <w:r>
        <w:t>________________________________________________________________________________</w:t>
      </w:r>
    </w:p>
    <w:p>
      <w:pPr>
        <w:pStyle w:val="VCHeading1"/>
      </w:pPr>
      <w:r>
        <w:t>1. Why We Are an Attractive Target</w:t>
      </w:r>
    </w:p>
    <w:p>
      <w:r>
        <w:t>Ventura Capital representa un activo estratégico único para compradores globales que buscan penetración inmediata en el mercado latinoamericano. Nuestros 'Data Moats' culturales son difíciles de replicar sin años de recolección de datos.</w:t>
      </w:r>
    </w:p>
    <w:p>
      <w:pPr>
        <w:pStyle w:val="VCHeading1"/>
      </w:pPr>
      <w:r>
        <w:t>2. Buyer Universe (Tier 1)</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Acquirer Category</w:t>
            </w:r>
          </w:p>
        </w:tc>
        <w:tc>
          <w:tcPr>
            <w:tcW w:type="dxa" w:w="2880"/>
          </w:tcPr>
          <w:p>
            <w:r>
              <w:t>Potential Buyers</w:t>
            </w:r>
          </w:p>
        </w:tc>
        <w:tc>
          <w:tcPr>
            <w:tcW w:type="dxa" w:w="2880"/>
          </w:tcPr>
          <w:p>
            <w:r>
              <w:t>Strategic Rationale</w:t>
            </w:r>
          </w:p>
        </w:tc>
      </w:tr>
      <w:tr>
        <w:tc>
          <w:tcPr>
            <w:tcW w:type="dxa" w:w="2880"/>
          </w:tcPr>
          <w:p>
            <w:r>
              <w:t>Global MarTech</w:t>
            </w:r>
          </w:p>
        </w:tc>
        <w:tc>
          <w:tcPr>
            <w:tcW w:type="dxa" w:w="2880"/>
          </w:tcPr>
          <w:p>
            <w:r>
              <w:t>HubSpot, Salesforce, Adobe</w:t>
            </w:r>
          </w:p>
        </w:tc>
        <w:tc>
          <w:tcPr>
            <w:tcW w:type="dxa" w:w="2880"/>
          </w:tcPr>
          <w:p>
            <w:r>
              <w:t>Necesidad de localizar sus nubes de marketing para capturar el mercado SMB de LATAM.</w:t>
            </w:r>
          </w:p>
        </w:tc>
      </w:tr>
      <w:tr>
        <w:tc>
          <w:tcPr>
            <w:tcW w:type="dxa" w:w="2880"/>
          </w:tcPr>
          <w:p>
            <w:r>
              <w:t>Regional Tech Giants</w:t>
            </w:r>
          </w:p>
        </w:tc>
        <w:tc>
          <w:tcPr>
            <w:tcW w:type="dxa" w:w="2880"/>
          </w:tcPr>
          <w:p>
            <w:r>
              <w:t>MercadoLibre, Globant</w:t>
            </w:r>
          </w:p>
        </w:tc>
        <w:tc>
          <w:tcPr>
            <w:tcW w:type="dxa" w:w="2880"/>
          </w:tcPr>
          <w:p>
            <w:r>
              <w:t>Integración vertical de herramientas para sus ecosistemas de vendedores (MeLi) o clientes enterprise.</w:t>
            </w:r>
          </w:p>
        </w:tc>
      </w:tr>
      <w:tr>
        <w:tc>
          <w:tcPr>
            <w:tcW w:type="dxa" w:w="2880"/>
          </w:tcPr>
          <w:p>
            <w:r>
              <w:t>Generative AI Platforms</w:t>
            </w:r>
          </w:p>
        </w:tc>
        <w:tc>
          <w:tcPr>
            <w:tcW w:type="dxa" w:w="2880"/>
          </w:tcPr>
          <w:p>
            <w:r>
              <w:t>Jasper, Canva</w:t>
            </w:r>
          </w:p>
        </w:tc>
        <w:tc>
          <w:tcPr>
            <w:tcW w:type="dxa" w:w="2880"/>
          </w:tcPr>
          <w:p>
            <w:r>
              <w:t>Expansión geográfica rápida y adquisición de talento/datos locales.</w:t>
            </w:r>
          </w:p>
        </w:tc>
      </w:tr>
    </w:tbl>
    <w:p>
      <w:pPr>
        <w:pStyle w:val="VCHeading1"/>
      </w:pPr>
      <w:r>
        <w:t>3. Comparable Transactions (Comps)</w:t>
      </w:r>
    </w:p>
    <w:p>
      <w:r>
        <w:t>• Writesonic (2023): Valued at ~$100M (20x ARR). Focus on SEO content.</w:t>
      </w:r>
    </w:p>
    <w:p>
      <w:r>
        <w:t>• Copy.ai (2022): Series A at $10M ARR. Strong PLG motion similar to Ventura.</w:t>
      </w:r>
    </w:p>
    <w:p>
      <w:pPr>
        <w:pStyle w:val="VCHeading1"/>
      </w:pPr>
      <w:r>
        <w:t>4. Projected Returns (Series A Investors)</w:t>
      </w:r>
    </w:p>
    <w:p>
      <w:r>
        <w:t>Based on a $10M Post-Money Valuation today:</w:t>
      </w:r>
    </w:p>
    <w:p>
      <w:pPr>
        <w:pStyle w:val="Heading3"/>
      </w:pPr>
      <w:r>
        <w:t>Scenario A: Base Case Exit (2027)</w:t>
      </w:r>
    </w:p>
    <w:p>
      <w:r>
        <w:t>• Exit Value: $50M (5x Revenue)</w:t>
      </w:r>
    </w:p>
    <w:p>
      <w:r>
        <w:t>• MOIC: 5.0x</w:t>
      </w:r>
    </w:p>
    <w:p>
      <w:r>
        <w:t>• IRR: ~70%</w:t>
      </w:r>
    </w:p>
    <w:p>
      <w:pPr>
        <w:pStyle w:val="Heading3"/>
      </w:pPr>
      <w:r>
        <w:t>Scenario B: Bull Case Exit (2028)</w:t>
      </w:r>
    </w:p>
    <w:p>
      <w:r>
        <w:t>• Exit Value: $150M (10x Revenue)</w:t>
      </w:r>
    </w:p>
    <w:p>
      <w:r>
        <w:t>• MOIC: 15.0x</w:t>
      </w:r>
    </w:p>
    <w:p>
      <w:r>
        <w:t>• IRR: ~110%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CTitle">
    <w:name w:val="VC Title"/>
    <w:rPr>
      <w:rFonts w:ascii="Calibri" w:hAnsi="Calibri"/>
      <w:b/>
      <w:color w:val="203764"/>
      <w:sz w:val="52"/>
    </w:rPr>
  </w:style>
  <w:style w:type="paragraph" w:customStyle="1" w:styleId="VCHeading1">
    <w:name w:val="VC Heading 1"/>
    <w:basedOn w:val="Heading1"/>
    <w:rPr>
      <w:rFonts w:ascii="Calibri" w:hAnsi="Calibri"/>
      <w:b/>
      <w:color w:val="2F75B5"/>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