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CTitle"/>
        <w:jc w:val="center"/>
      </w:pPr>
      <w:r>
        <w:t>VENTURA CAPITAL</w:t>
      </w:r>
    </w:p>
    <w:p>
      <w:pPr>
        <w:pStyle w:val="Subtitle"/>
        <w:jc w:val="center"/>
      </w:pPr>
      <w:r>
        <w:t>GTM &amp; SALES PLAYBOOK 2025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VCHeading1"/>
      </w:pPr>
      <w:r>
        <w:t>1. The 'Pincer' Strategy</w:t>
      </w:r>
    </w:p>
    <w:p>
      <w:r>
        <w:t>Nuestra estrategia de Go-To-Market ataca el mercado desde dos frentes simultáneos para maximizar la cobertura y eficiencia del CAC.</w:t>
      </w:r>
    </w:p>
    <w:p>
      <w:pPr>
        <w:pStyle w:val="Heading3"/>
      </w:pPr>
      <w:r>
        <w:t>Top-Down (Direct Sales):</w:t>
      </w:r>
    </w:p>
    <w:p>
      <w:r>
        <w:t>Enfoque en Agencias Digitales y E-commerce Enterprise (&gt;100 SKUs). Ticket promedio: $12k/año.</w:t>
      </w:r>
    </w:p>
    <w:p>
      <w:pPr>
        <w:pStyle w:val="Heading3"/>
      </w:pPr>
      <w:r>
        <w:t>Bottom-Up (PLG):</w:t>
      </w:r>
    </w:p>
    <w:p>
      <w:r>
        <w:t>Freemium para creadores y PyMEs. Viralidad a través de marcas de agua y 'shareable assets'. Conversión a Pro Plan ($29/mo).</w:t>
      </w:r>
    </w:p>
    <w:p>
      <w:pPr>
        <w:pStyle w:val="VCHeading1"/>
      </w:pPr>
      <w:r>
        <w:t>2. Sales Organization Ramp (Use of Funds)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Q1 2025 Hires</w:t>
            </w:r>
          </w:p>
        </w:tc>
        <w:tc>
          <w:tcPr>
            <w:tcW w:type="dxa" w:w="2880"/>
          </w:tcPr>
          <w:p>
            <w:r>
              <w:t>Key Responsibility</w:t>
            </w:r>
          </w:p>
        </w:tc>
      </w:tr>
      <w:tr>
        <w:tc>
          <w:tcPr>
            <w:tcW w:type="dxa" w:w="2880"/>
          </w:tcPr>
          <w:p>
            <w:r>
              <w:t>Head of Sales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Build playbook, hire SDRs, close first 10 Enterprise deals.</w:t>
            </w:r>
          </w:p>
        </w:tc>
      </w:tr>
      <w:tr>
        <w:tc>
          <w:tcPr>
            <w:tcW w:type="dxa" w:w="2880"/>
          </w:tcPr>
          <w:p>
            <w:r>
              <w:t>SDRs (Outbound)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Cold outreach to Agencias Marketing (List building + Email/LinkedIn).</w:t>
            </w:r>
          </w:p>
        </w:tc>
      </w:tr>
      <w:tr>
        <w:tc>
          <w:tcPr>
            <w:tcW w:type="dxa" w:w="2880"/>
          </w:tcPr>
          <w:p>
            <w:r>
              <w:t>Growth Marketer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Optimize PLG funnel, SEO content, and Paid Ads (Meta/LinkedIn).</w:t>
            </w:r>
          </w:p>
        </w:tc>
      </w:tr>
    </w:tbl>
    <w:p>
      <w:pPr>
        <w:pStyle w:val="VCHeading1"/>
      </w:pPr>
      <w:r>
        <w:t>3. Unit Economics Targets</w:t>
      </w:r>
    </w:p>
    <w:p>
      <w:r>
        <w:t>• Enterprise CAC Target: $2,500</w:t>
      </w:r>
    </w:p>
    <w:p>
      <w:r>
        <w:t>• Enterprise LTV Target: $30,000 (12:1 ratio)</w:t>
      </w:r>
    </w:p>
    <w:p>
      <w:r>
        <w:t>• PLG CAC Target: $25</w:t>
      </w:r>
    </w:p>
    <w:p>
      <w:r>
        <w:t>• PLG LTV Target: $350 (14:1 ratio)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Title">
    <w:name w:val="VC Title"/>
    <w:rPr>
      <w:rFonts w:ascii="Calibri" w:hAnsi="Calibri"/>
      <w:b/>
      <w:color w:val="203764"/>
      <w:sz w:val="52"/>
    </w:rPr>
  </w:style>
  <w:style w:type="paragraph" w:customStyle="1" w:styleId="VCHeading1">
    <w:name w:val="VC Heading 1"/>
    <w:basedOn w:val="Heading1"/>
    <w:rPr>
      <w:rFonts w:ascii="Calibri" w:hAnsi="Calibri"/>
      <w:b/>
      <w:color w:val="2F75B5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