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TECHNICAL DUE DILIGENCE BRIEF</w:t>
      </w:r>
    </w:p>
    <w:p>
      <w:pPr>
        <w:jc w:val="center"/>
      </w:pPr>
      <w:r>
        <w:t>Version 1.2 | Status: Production | Compliance: SOC2 Readiness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SYSTEM ARCHITECTURE</w:t>
      </w:r>
    </w:p>
    <w:p>
      <w:r>
        <w:t>Cloud-native microservices architecture hosted on AWS (us-east-1).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18, TypeScript, TailwindCSS (Hosted on Vercel)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Python FastAPI (Async), running on AWS ECS (Fargate)</w:t>
            </w:r>
          </w:p>
        </w:tc>
      </w:tr>
      <w:tr>
        <w:tc>
          <w:tcPr>
            <w:tcW w:type="dxa" w:w="4320"/>
          </w:tcPr>
          <w:p>
            <w:r>
              <w:t>AI Inference</w:t>
            </w:r>
          </w:p>
        </w:tc>
        <w:tc>
          <w:tcPr>
            <w:tcW w:type="dxa" w:w="4320"/>
          </w:tcPr>
          <w:p>
            <w:r>
              <w:t>Ray Serve clusters on GPU instances (g5.xlarge)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(RDS) for relational data, Pinecone for Vector DB</w:t>
            </w:r>
          </w:p>
        </w:tc>
      </w:tr>
      <w:tr>
        <w:tc>
          <w:tcPr>
            <w:tcW w:type="dxa" w:w="4320"/>
          </w:tcPr>
          <w:p>
            <w:r>
              <w:t>Queue/Async</w:t>
            </w:r>
          </w:p>
        </w:tc>
        <w:tc>
          <w:tcPr>
            <w:tcW w:type="dxa" w:w="4320"/>
          </w:tcPr>
          <w:p>
            <w:r>
              <w:t>Redis &amp; Celery for long-running generation tasks</w:t>
            </w:r>
          </w:p>
        </w:tc>
      </w:tr>
    </w:tbl>
    <w:p>
      <w:pPr>
        <w:pStyle w:val="Heading1"/>
      </w:pPr>
      <w:r>
        <w:t>2. AI MODEL PIPELINE (The 'Secret Sauce')</w:t>
      </w:r>
    </w:p>
    <w:p>
      <w:r>
        <w:t>Our proprietary pipeline consists of three stages:</w:t>
      </w:r>
    </w:p>
    <w:p>
      <w:pPr>
        <w:pStyle w:val="ListNumber"/>
      </w:pPr>
      <w:r>
        <w:t>1. Intent Classification:</w:t>
      </w:r>
    </w:p>
    <w:p>
      <w:r>
        <w:t xml:space="preserve">   BERT-based model classifies user intent (e.g., 'Sales Email', 'Insta Caption').</w:t>
      </w:r>
    </w:p>
    <w:p>
      <w:pPr>
        <w:pStyle w:val="ListNumber"/>
      </w:pPr>
      <w:r>
        <w:t>2. Context Retrieval (RAG):</w:t>
      </w:r>
    </w:p>
    <w:p>
      <w:r>
        <w:t xml:space="preserve">   Retrieves relevant cultural context and brand guidelines from Vector DB.</w:t>
      </w:r>
    </w:p>
    <w:p>
      <w:pPr>
        <w:pStyle w:val="ListNumber"/>
      </w:pPr>
      <w:r>
        <w:t>3. Generation &amp; Polishing:</w:t>
      </w:r>
    </w:p>
    <w:p>
      <w:r>
        <w:t xml:space="preserve">   Fine-tuned Llama-3-70b generates content. A secondary 'Critic Model' evaluates output against local dialect rules (e.g., 'voseo' in Argentina).</w:t>
      </w:r>
    </w:p>
    <w:p>
      <w:pPr>
        <w:pStyle w:val="Heading1"/>
      </w:pPr>
      <w:r>
        <w:t>3. SECURITY &amp; COMPLIANCE</w:t>
      </w:r>
    </w:p>
    <w:p>
      <w:r>
        <w:t>• Data Encryption: TLS 1.3 in transit, AES-256 at rest.</w:t>
      </w:r>
    </w:p>
    <w:p>
      <w:r>
        <w:t>• PII Handling: Automatic redaction of Personally Identifiable Information before sending to LLMs.</w:t>
      </w:r>
    </w:p>
    <w:p>
      <w:r>
        <w:t>• SOC2: Currently in observation period (Drata integration active). Target certification: Q2 2025.</w:t>
      </w:r>
    </w:p>
    <w:p>
      <w:pPr>
        <w:pStyle w:val="Heading1"/>
      </w:pPr>
      <w:r>
        <w:t>4. SCALABILITY METRICS</w:t>
      </w:r>
    </w:p>
    <w:p>
      <w:r>
        <w:t>• Current Throughput: 50k requests/day.</w:t>
      </w:r>
    </w:p>
    <w:p>
      <w:r>
        <w:t>• Stress Test Limit: 1M requests/day (validated).</w:t>
      </w:r>
    </w:p>
    <w:p>
      <w:r>
        <w:t>• Auto-scaling: KEDA policies scale pods based on queue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