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 (SAAS)</w:t>
      </w:r>
    </w:p>
    <w:p>
      <w:pPr>
        <w:pStyle w:val="Subtitle"/>
        <w:jc w:val="center"/>
      </w:pPr>
      <w:r>
        <w:t>Ventura Capital Inc.</w:t>
      </w:r>
    </w:p>
    <w:p>
      <w:r>
        <w:t>This Master Service Agreement ('Agreement') is entered into by and between Ventura Capital Inc. ('Provider') and the Customer identified in the Order Form.</w:t>
      </w:r>
    </w:p>
    <w:p>
      <w:pPr>
        <w:pStyle w:val="Heading1"/>
      </w:pPr>
      <w:r>
        <w:t>1. DEFINITIONS</w:t>
      </w:r>
    </w:p>
    <w:p>
      <w:r>
        <w:t>'Service' means the AI-powered marketing content generation platform provided by Provider.</w:t>
      </w:r>
    </w:p>
    <w:p>
      <w:r>
        <w:t>'Customer Data' means all data and materials uploaded by Customer to the Service.</w:t>
      </w:r>
    </w:p>
    <w:p>
      <w:pPr>
        <w:pStyle w:val="Heading1"/>
      </w:pPr>
      <w:r>
        <w:t>2. ACCESS AND USE</w:t>
      </w:r>
    </w:p>
    <w:p>
      <w:r>
        <w:t>2.1 Provision of Access. Subject to payment of Fees, Provider grants Customer a non-exclusive, non-transferable right to access and use the Service.</w:t>
      </w:r>
    </w:p>
    <w:p>
      <w:r>
        <w:t>2.2 Usage Limits. Services are subject to usage limits (e.g., API calls, generated words) specified in the Order Form.</w:t>
      </w:r>
    </w:p>
    <w:p>
      <w:pPr>
        <w:pStyle w:val="Heading1"/>
      </w:pPr>
      <w:r>
        <w:t>3. SERVICE LEVEL AGREEMENT (SLA)</w:t>
      </w:r>
    </w:p>
    <w:p>
      <w:r>
        <w:t>Provider commits to 99.9% Uptime during business hours. Service Credits apply for downtime exceeding 1% per month.</w:t>
      </w:r>
    </w:p>
    <w:p>
      <w:pPr>
        <w:pStyle w:val="Heading1"/>
      </w:pPr>
      <w:r>
        <w:t>4. DATA PROTECTION &amp; AI TRAINING</w:t>
      </w:r>
    </w:p>
    <w:p>
      <w:r>
        <w:t>4.1 Confidentiality. Provider treats all Customer Data as confidential.</w:t>
      </w:r>
    </w:p>
    <w:p>
      <w:r>
        <w:t>4.2 AI Training Opt-Out. Customer may opt-out of having their data used to fine-tune Provider's global models. Enterprise plans default to 'Private Mode' (no training on customer data).</w:t>
      </w:r>
    </w:p>
    <w:p>
      <w:pPr>
        <w:pStyle w:val="Heading1"/>
      </w:pPr>
      <w:r>
        <w:t>5. FEES AND PAYMENT</w:t>
      </w:r>
    </w:p>
    <w:p>
      <w:r>
        <w:t>Fees are invoiced annually in advance. Late payments accrue interest at 1.5% per month.</w:t>
      </w:r>
    </w:p>
    <w:p>
      <w:pPr>
        <w:pStyle w:val="Heading1"/>
      </w:pPr>
      <w:r>
        <w:t>6. TERM AND TERMINATION</w:t>
      </w:r>
    </w:p>
    <w:p>
      <w:r>
        <w:t>This Agreement commences on the Effective Date and continues for the Initial Term (typically 12 months), auto-renewing unless cancelled with 30 days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