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Venture Capital IA</w:t>
      </w:r>
    </w:p>
    <w:p>
      <w:pPr>
        <w:jc w:val="center"/>
      </w:pPr>
      <w:r>
        <w:t>Strategic Investment Framework &amp; Operational Roadmap</w:t>
      </w:r>
    </w:p>
    <w:p>
      <w:r>
        <w:br w:type="page"/>
      </w:r>
    </w:p>
    <w:p>
      <w:pPr>
        <w:pStyle w:val="Heading1"/>
      </w:pPr>
      <w:r>
        <w:t>1. Vision &amp; Mission</w:t>
      </w:r>
    </w:p>
    <w:p>
      <w:r>
        <w:t>Vision: To build the world's most successful AI venture capital firm that identifies, funds, and scales the next generation of AI companies.</w:t>
      </w:r>
    </w:p>
    <w:p>
      <w:r>
        <w:t>Mission: Create an AI-powered venture capital platform that drives AI innovation, generates exceptional returns, and builds the future of AI.</w:t>
      </w:r>
    </w:p>
    <w:p>
      <w:pPr>
        <w:pStyle w:val="Heading2"/>
      </w:pPr>
      <w:r>
        <w:t>Strategic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AI-First Strategy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Global Network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Value Creation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Exit Optimization</w:t>
            </w:r>
          </w:p>
        </w:tc>
      </w:tr>
    </w:tbl>
    <w:p>
      <w:pPr>
        <w:pStyle w:val="Heading1"/>
      </w:pPr>
      <w:r>
        <w:t>2. Investment Framework</w:t>
      </w:r>
    </w:p>
    <w:p>
      <w:r>
        <w:t>Our investment architecture leverages AI at every stage of the deal lifecycle:</w:t>
      </w:r>
    </w:p>
    <w:p>
      <w:r>
        <w:t>Deal Flow Process:</w:t>
      </w:r>
    </w:p>
    <w:p>
      <w:pPr>
        <w:pStyle w:val="ListNumber"/>
      </w:pPr>
      <w:r>
        <w:t>1. Deal Sourcing (AI)</w:t>
      </w:r>
    </w:p>
    <w:p>
      <w:pPr>
        <w:pStyle w:val="ListNumber"/>
      </w:pPr>
      <w:r>
        <w:t>2. Due Diligence (Auto)</w:t>
      </w:r>
    </w:p>
    <w:p>
      <w:pPr>
        <w:pStyle w:val="ListNumber"/>
      </w:pPr>
      <w:r>
        <w:t>3. Investment Decision</w:t>
      </w:r>
    </w:p>
    <w:p>
      <w:pPr>
        <w:pStyle w:val="ListNumber"/>
      </w:pPr>
      <w:r>
        <w:t>4. Portfolio Mgmt</w:t>
      </w:r>
    </w:p>
    <w:p>
      <w:pPr>
        <w:pStyle w:val="ListNumber"/>
      </w:pPr>
      <w:r>
        <w:t>5. Exit Strategy</w:t>
      </w:r>
    </w:p>
    <w:p>
      <w:pPr>
        <w:pStyle w:val="Heading1"/>
      </w:pPr>
      <w:r>
        <w:t>3. Investment Sectors</w:t>
      </w:r>
    </w:p>
    <w:p>
      <w:r>
        <w:rPr>
          <w:b/>
        </w:rPr>
        <w:t>Generative AI</w:t>
      </w:r>
      <w:r>
        <w:t>: Content Generation, Creative AI, Media Automation</w:t>
      </w:r>
    </w:p>
    <w:p>
      <w:r>
        <w:rPr>
          <w:b/>
        </w:rPr>
        <w:t>Robotics</w:t>
      </w:r>
      <w:r>
        <w:t>: Industrial Robotics, Service Robotics, Autonomous Systems</w:t>
      </w:r>
    </w:p>
    <w:p>
      <w:r>
        <w:rPr>
          <w:b/>
        </w:rPr>
        <w:t>Biomedical AI</w:t>
      </w:r>
      <w:r>
        <w:t>: Drug Discovery, Personalized Medicine, Medical Devices</w:t>
      </w:r>
    </w:p>
    <w:p>
      <w:r>
        <w:rPr>
          <w:b/>
        </w:rPr>
        <w:t>Sustainable AI</w:t>
      </w:r>
      <w:r>
        <w:t>: Climate Solutions, Energy Optimization, Green Tech</w:t>
      </w:r>
    </w:p>
    <w:p>
      <w:pPr>
        <w:pStyle w:val="Heading1"/>
      </w:pPr>
      <w:r>
        <w:t>4. Capital Allocation Strategy (Post-Investment)</w:t>
      </w:r>
    </w:p>
    <w:p>
      <w:r>
        <w:t>For a typical Series A investment ($15M), capital is deployed strategically to maximize ROI: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  <w:tc>
          <w:tcPr>
            <w:tcW w:type="dxa" w:w="2880"/>
          </w:tcPr>
          <w:p>
            <w:r>
              <w:t>Key Objective</w:t>
            </w:r>
          </w:p>
        </w:tc>
      </w:tr>
      <w:tr>
        <w:tc>
          <w:tcPr>
            <w:tcW w:type="dxa" w:w="2880"/>
          </w:tcPr>
          <w:p>
            <w:r>
              <w:t>Product Development</w:t>
            </w:r>
          </w:p>
        </w:tc>
        <w:tc>
          <w:tcPr>
            <w:tcW w:type="dxa" w:w="2880"/>
          </w:tcPr>
          <w:p>
            <w:r>
              <w:t>40% ($6M)</w:t>
            </w:r>
          </w:p>
        </w:tc>
        <w:tc>
          <w:tcPr>
            <w:tcW w:type="dxa" w:w="2880"/>
          </w:tcPr>
          <w:p>
            <w:r>
              <w:t>Build the "Moat" - R&amp;D, Patents</w:t>
            </w:r>
          </w:p>
        </w:tc>
      </w:tr>
      <w:tr>
        <w:tc>
          <w:tcPr>
            <w:tcW w:type="dxa" w:w="2880"/>
          </w:tcPr>
          <w:p>
            <w:r>
              <w:t>Sales &amp; Marketing</w:t>
            </w:r>
          </w:p>
        </w:tc>
        <w:tc>
          <w:tcPr>
            <w:tcW w:type="dxa" w:w="2880"/>
          </w:tcPr>
          <w:p>
            <w:r>
              <w:t>35% ($5.25M)</w:t>
            </w:r>
          </w:p>
        </w:tc>
        <w:tc>
          <w:tcPr>
            <w:tcW w:type="dxa" w:w="2880"/>
          </w:tcPr>
          <w:p>
            <w:r>
              <w:t>Accelerate Revenue &amp; Market Share</w:t>
            </w:r>
          </w:p>
        </w:tc>
      </w:tr>
      <w:tr>
        <w:tc>
          <w:tcPr>
            <w:tcW w:type="dxa" w:w="2880"/>
          </w:tcPr>
          <w:p>
            <w:r>
              <w:t>Team &amp; Talent</w:t>
            </w:r>
          </w:p>
        </w:tc>
        <w:tc>
          <w:tcPr>
            <w:tcW w:type="dxa" w:w="2880"/>
          </w:tcPr>
          <w:p>
            <w:r>
              <w:t>20% ($3M)</w:t>
            </w:r>
          </w:p>
        </w:tc>
        <w:tc>
          <w:tcPr>
            <w:tcW w:type="dxa" w:w="2880"/>
          </w:tcPr>
          <w:p>
            <w:r>
              <w:t>World-class Hiring &amp; Culture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5% ($0.75M)</w:t>
            </w:r>
          </w:p>
        </w:tc>
        <w:tc>
          <w:tcPr>
            <w:tcW w:type="dxa" w:w="2880"/>
          </w:tcPr>
          <w:p>
            <w:r>
              <w:t>Efficiency &amp; Compliance</w:t>
            </w:r>
          </w:p>
        </w:tc>
      </w:tr>
    </w:tbl>
    <w:p>
      <w:pPr>
        <w:pStyle w:val="Heading1"/>
      </w:pPr>
      <w:r>
        <w:t>5. Global Expansion Roadmap</w:t>
      </w:r>
    </w:p>
    <w:p>
      <w:pPr>
        <w:pStyle w:val="Heading2"/>
      </w:pPr>
      <w:r>
        <w:t>Phase 1: Foundation (Year 1)</w:t>
      </w:r>
    </w:p>
    <w:p>
      <w:r>
        <w:t>Focus: USA, UK, Germany, France, Canada.</w:t>
      </w:r>
    </w:p>
    <w:p>
      <w:pPr>
        <w:pStyle w:val="Heading2"/>
      </w:pPr>
      <w:r>
        <w:t>Phase 2: Growth (Year 2)</w:t>
      </w:r>
    </w:p>
    <w:p>
      <w:r>
        <w:t>Focus: China (JV), Japan, Australia, Singapore, Brazil.</w:t>
      </w:r>
    </w:p>
    <w:p>
      <w:pPr>
        <w:pStyle w:val="Heading2"/>
      </w:pPr>
      <w:r>
        <w:t>Phase 3: Scale (Year 3)</w:t>
      </w:r>
    </w:p>
    <w:p>
      <w:r>
        <w:t>Focus: India, South Korea, Mexico, Argentina, UAE.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