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/>
        <w:br/>
        <w:br/>
        <w:br/>
        <w:br/>
      </w:r>
    </w:p>
    <w:p>
      <w:pPr>
        <w:pStyle w:val="Title"/>
        <w:jc w:val="center"/>
      </w:pPr>
      <w:r>
        <w:t>VENTURA CAPITAL</w:t>
      </w:r>
    </w:p>
    <w:p>
      <w:pPr>
        <w:pStyle w:val="Subtitle"/>
        <w:jc w:val="center"/>
      </w:pPr>
      <w:r>
        <w:t>AI STRATEGIC INVESTMENT FRAMEWORK</w:t>
        <w:br/>
        <w:t>&amp; CAPITAL ALLOCATION MASTER PLAN</w:t>
      </w:r>
    </w:p>
    <w:p>
      <w:r>
        <w:br/>
        <w:br/>
        <w:br/>
      </w:r>
    </w:p>
    <w:p>
      <w:pPr>
        <w:jc w:val="center"/>
      </w:pPr>
      <w:r>
        <w:t>CONFIDENTIAL - INTERNAL USE ONLY</w:t>
        <w:br/>
        <w:t>Prepared for: Executive Committee</w:t>
        <w:br/>
        <w:t>Date: November 2025</w:t>
      </w:r>
    </w:p>
    <w:p>
      <w:r>
        <w:br w:type="page"/>
      </w:r>
    </w:p>
    <w:p>
      <w:pPr>
        <w:pStyle w:val="Heading1"/>
      </w:pPr>
      <w:r>
        <w:t>1. Executive Summary</w:t>
      </w:r>
    </w:p>
    <w:p>
      <w:r>
        <w:t xml:space="preserve">Ventura Capital IA is positioned to be the world's leading AI-first investment firm. Our strategy integrates </w:t>
      </w:r>
      <w:r>
        <w:rPr>
          <w:b/>
        </w:rPr>
        <w:t>advanced machine learning for deal sourcing</w:t>
      </w:r>
      <w:r>
        <w:t xml:space="preserve">, </w:t>
      </w:r>
      <w:r>
        <w:rPr>
          <w:b/>
        </w:rPr>
        <w:t>automated due diligence</w:t>
      </w:r>
      <w:r>
        <w:t xml:space="preserve">, and a </w:t>
      </w:r>
      <w:r>
        <w:rPr>
          <w:b/>
        </w:rPr>
        <w:t>global "moat-building" capital allocation strategy</w:t>
      </w:r>
      <w:r>
        <w:t>.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Target AUM</w:t>
            </w:r>
          </w:p>
        </w:tc>
        <w:tc>
          <w:tcPr>
            <w:tcW w:type="dxa" w:w="2160"/>
          </w:tcPr>
          <w:p>
            <w:r>
              <w:t>Target IRR</w:t>
            </w:r>
          </w:p>
        </w:tc>
        <w:tc>
          <w:tcPr>
            <w:tcW w:type="dxa" w:w="2160"/>
          </w:tcPr>
          <w:p>
            <w:r>
              <w:t>Startups</w:t>
            </w:r>
          </w:p>
        </w:tc>
        <w:tc>
          <w:tcPr>
            <w:tcW w:type="dxa" w:w="2160"/>
          </w:tcPr>
          <w:p>
            <w:r>
              <w:t>Unicorns</w:t>
            </w:r>
          </w:p>
        </w:tc>
      </w:tr>
      <w:tr>
        <w:tc>
          <w:tcPr>
            <w:tcW w:type="dxa" w:w="2160"/>
          </w:tcPr>
          <w:p>
            <w:r>
              <w:t>$10 Billion</w:t>
            </w:r>
          </w:p>
        </w:tc>
        <w:tc>
          <w:tcPr>
            <w:tcW w:type="dxa" w:w="2160"/>
          </w:tcPr>
          <w:p>
            <w:r>
              <w:t>50%+</w:t>
            </w:r>
          </w:p>
        </w:tc>
        <w:tc>
          <w:tcPr>
            <w:tcW w:type="dxa" w:w="2160"/>
          </w:tcPr>
          <w:p>
            <w:r>
              <w:t>1,000+</w:t>
            </w:r>
          </w:p>
        </w:tc>
        <w:tc>
          <w:tcPr>
            <w:tcW w:type="dxa" w:w="2160"/>
          </w:tcPr>
          <w:p>
            <w:r>
              <w:t>100+</w:t>
            </w:r>
          </w:p>
        </w:tc>
      </w:tr>
    </w:tbl>
    <w:p>
      <w:pPr>
        <w:pStyle w:val="Heading1"/>
      </w:pPr>
      <w:r>
        <w:t>2. The Psychology Framework of Capital Allocation</w:t>
      </w:r>
    </w:p>
    <w:p>
      <w:r>
        <w:t>Our $15M Series A allocation model is not just about spending; it is about triggering specific market and internal psychological responses to build an unassailable position.</w:t>
      </w:r>
    </w:p>
    <w:p>
      <w:pPr>
        <w:pStyle w:val="Heading2"/>
      </w:pPr>
      <w:r>
        <w:t>A. Product: "The Moat Builder" (40% / $6M)</w:t>
      </w:r>
    </w:p>
    <w:p>
      <w:pPr>
        <w:pStyle w:val="IntenseQuote"/>
      </w:pPr>
      <w:r>
        <w:t>Objective: Create a competitive advantage that cannot be replicated.</w:t>
      </w:r>
    </w:p>
    <w:p>
      <w:r>
        <w:rPr>
          <w:b/>
        </w:rPr>
        <w:t xml:space="preserve">• R&amp;D Core ($2.4M): </w:t>
      </w:r>
      <w:r>
        <w:t>Deep tech investment to create IP barriers.</w:t>
      </w:r>
    </w:p>
    <w:p>
      <w:r>
        <w:rPr>
          <w:b/>
        </w:rPr>
        <w:t xml:space="preserve">• Innovation Lab ($0.6M): </w:t>
      </w:r>
      <w:r>
        <w:t>Signaling market leadership and future vision.</w:t>
      </w:r>
    </w:p>
    <w:p>
      <w:pPr>
        <w:pStyle w:val="Heading2"/>
      </w:pPr>
      <w:r>
        <w:t>B. Sales &amp; Marketing: "The Growth Engine" (35% / $5.25M)</w:t>
      </w:r>
    </w:p>
    <w:p>
      <w:pPr>
        <w:pStyle w:val="IntenseQuote"/>
      </w:pPr>
      <w:r>
        <w:t>Objective: Accelerate revenue velocity and achieve brand ubiquity.</w:t>
      </w:r>
    </w:p>
    <w:p>
      <w:r>
        <w:rPr>
          <w:b/>
        </w:rPr>
        <w:t xml:space="preserve">• Sales Expansion ($2.1M): </w:t>
      </w:r>
      <w:r>
        <w:t>Direct relationship building.</w:t>
      </w:r>
    </w:p>
    <w:p>
      <w:r>
        <w:rPr>
          <w:b/>
        </w:rPr>
        <w:t xml:space="preserve">• Market Dominance ($1.6M): </w:t>
      </w:r>
      <w:r>
        <w:t>Psychological social proof through high-visibility campaigns.</w:t>
      </w:r>
    </w:p>
    <w:p>
      <w:pPr>
        <w:pStyle w:val="Heading2"/>
      </w:pPr>
      <w:r>
        <w:t>C. Team: "The Culture of Excellence" (20% / $3M)</w:t>
      </w:r>
    </w:p>
    <w:p>
      <w:pPr>
        <w:pStyle w:val="IntenseQuote"/>
      </w:pPr>
      <w:r>
        <w:t>Objective: Attract and retain the top 1% of global talent.</w:t>
      </w:r>
    </w:p>
    <w:p>
      <w:pPr>
        <w:pStyle w:val="Heading1"/>
      </w:pPr>
      <w:r>
        <w:t>3. Global Operations &amp; Bulk Scaling</w:t>
      </w:r>
    </w:p>
    <w:p>
      <w:pPr>
        <w:pStyle w:val="Heading2"/>
      </w:pPr>
      <w:r>
        <w:t>Expansion Phases: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PHASE 1: FOUNDATION</w:t>
              <w:br/>
              <w:t>(Months 1-6)</w:t>
            </w:r>
          </w:p>
        </w:tc>
        <w:tc>
          <w:tcPr>
            <w:tcW w:type="dxa" w:w="2880"/>
          </w:tcPr>
          <w:p>
            <w:r>
              <w:t>PHASE 2: GROWTH</w:t>
              <w:br/>
              <w:t>(Months 7-18)</w:t>
            </w:r>
          </w:p>
        </w:tc>
        <w:tc>
          <w:tcPr>
            <w:tcW w:type="dxa" w:w="2880"/>
          </w:tcPr>
          <w:p>
            <w:r>
              <w:t>PHASE 3: SCALE</w:t>
              <w:br/>
              <w:t>(Months 19-36)</w:t>
            </w:r>
          </w:p>
        </w:tc>
      </w:tr>
      <w:tr>
        <w:tc>
          <w:tcPr>
            <w:tcW w:type="dxa" w:w="2880"/>
          </w:tcPr>
          <w:p>
            <w:r>
              <w:t>• US &amp; UK Entry</w:t>
              <w:br/>
              <w:t>• Core Team Hiring</w:t>
              <w:br/>
              <w:t>• MVP Validation</w:t>
            </w:r>
          </w:p>
        </w:tc>
        <w:tc>
          <w:tcPr>
            <w:tcW w:type="dxa" w:w="2880"/>
          </w:tcPr>
          <w:p>
            <w:r>
              <w:t>• Asian JVs</w:t>
              <w:br/>
              <w:t>• Market Expansion</w:t>
              <w:br/>
              <w:t>• 200+ Employees</w:t>
            </w:r>
          </w:p>
        </w:tc>
        <w:tc>
          <w:tcPr>
            <w:tcW w:type="dxa" w:w="2880"/>
          </w:tcPr>
          <w:p>
            <w:r>
              <w:t>• Global Dominance</w:t>
              <w:br/>
              <w:t>• 50+ Countries</w:t>
              <w:br/>
              <w:t>• 500+ Employees</w:t>
            </w:r>
          </w:p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</w:tbl>
    <w:p>
      <w:pPr>
        <w:pStyle w:val="Heading1"/>
      </w:pPr>
      <w:r>
        <w:t>4. Implementation Checklists</w:t>
      </w:r>
    </w:p>
    <w:p>
      <w:pPr>
        <w:pStyle w:val="Heading3"/>
      </w:pPr>
      <w:r>
        <w:t>Pre-Investment Readiness:</w:t>
      </w:r>
    </w:p>
    <w:p>
      <w:pPr>
        <w:pStyle w:val="ListBullet"/>
      </w:pPr>
      <w:r>
        <w:t>Strategy of allocation defined</w:t>
      </w:r>
    </w:p>
    <w:p>
      <w:pPr>
        <w:pStyle w:val="ListBullet"/>
      </w:pPr>
      <w:r>
        <w:t>Budget details prepared</w:t>
      </w:r>
    </w:p>
    <w:p>
      <w:pPr>
        <w:pStyle w:val="ListBullet"/>
      </w:pPr>
      <w:r>
        <w:t>ROI metrics established</w:t>
      </w:r>
    </w:p>
    <w:p>
      <w:pPr>
        <w:pStyle w:val="ListBullet"/>
      </w:pPr>
      <w:r>
        <w:t>Key responsible teams assigned</w:t>
      </w:r>
    </w:p>
    <w:p>
      <w:pPr>
        <w:pStyle w:val="Heading3"/>
      </w:pPr>
      <w:r>
        <w:t>Post-Investment Execution:</w:t>
      </w:r>
    </w:p>
    <w:p>
      <w:pPr>
        <w:pStyle w:val="ListBullet"/>
      </w:pPr>
      <w:r>
        <w:t>Execute initial capital deployment</w:t>
      </w:r>
    </w:p>
    <w:p>
      <w:pPr>
        <w:pStyle w:val="ListBullet"/>
      </w:pPr>
      <w:r>
        <w:t>Launch "Moat Builder" R&amp;D initiatives</w:t>
      </w:r>
    </w:p>
    <w:p>
      <w:pPr>
        <w:pStyle w:val="ListBullet"/>
      </w:pPr>
      <w:r>
        <w:t>Initiate global hiring waves</w:t>
      </w:r>
    </w:p>
    <w:p>
      <w:pPr>
        <w:pStyle w:val="ListBullet"/>
      </w:pPr>
      <w:r>
        <w:t>Implement real-time ROI tracking dashboards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Helvetica Neue" w:hAnsi="Helvetica Neue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