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2060"/>
                <w:sz w:val="32"/>
              </w:rPr>
              <w:t>VENTURA CAPITAL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INVESTMENT RECOMMENDATION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1"/>
      </w:pPr>
      <w:r>
        <w:t>OPPORTUNITY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Company:</w:t>
            </w:r>
          </w:p>
        </w:tc>
        <w:tc>
          <w:tcPr>
            <w:tcW w:type="dxa" w:w="4320"/>
          </w:tcPr>
          <w:p>
            <w:r>
              <w:t>NEXUS AI (Example)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Round:</w:t>
            </w:r>
          </w:p>
        </w:tc>
        <w:tc>
          <w:tcPr>
            <w:tcW w:type="dxa" w:w="4320"/>
          </w:tcPr>
          <w:p>
            <w:r>
              <w:t>Series A ($15M)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Pre-Money Valuation:</w:t>
            </w:r>
          </w:p>
        </w:tc>
        <w:tc>
          <w:tcPr>
            <w:tcW w:type="dxa" w:w="4320"/>
          </w:tcPr>
          <w:p>
            <w:r>
              <w:t>$60M</w:t>
            </w:r>
          </w:p>
        </w:tc>
      </w:tr>
    </w:tbl>
    <w:p>
      <w:r>
        <w:br/>
      </w:r>
    </w:p>
    <w:p>
      <w:pPr>
        <w:pStyle w:val="Heading2"/>
      </w:pPr>
      <w:r>
        <w:t>INTERNAL SCORING CARD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TEAM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MARKET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DEAL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9/10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8.5/10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9/10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8/10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86/100</w:t>
            </w:r>
          </w:p>
        </w:tc>
      </w:tr>
    </w:tbl>
    <w:p>
      <w:r>
        <w:br/>
      </w:r>
    </w:p>
    <w:p>
      <w:pPr>
        <w:pStyle w:val="Heading2"/>
      </w:pPr>
      <w:r>
        <w:t>KEY INVESTMENT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🟢 GREEN LIGHTS (Thesis Match)</w:t>
            </w:r>
          </w:p>
        </w:tc>
        <w:tc>
          <w:tcPr>
            <w:tcW w:type="dxa" w:w="4320"/>
          </w:tcPr>
          <w:p>
            <w:r>
              <w:t>🚩 RED FLAGS (Risks)</w:t>
            </w:r>
          </w:p>
        </w:tc>
      </w:tr>
      <w:tr>
        <w:tc>
          <w:tcPr>
            <w:tcW w:type="dxa" w:w="4320"/>
          </w:tcPr>
          <w:p>
            <w:r>
              <w:t>• Proprietary 'Moat' technology confirmed.</w:t>
              <w:br/>
              <w:t>• Founders are ex-Google DeepMind.</w:t>
              <w:br/>
              <w:t>• Unit economics positive.</w:t>
            </w:r>
          </w:p>
        </w:tc>
        <w:tc>
          <w:tcPr>
            <w:tcW w:type="dxa" w:w="4320"/>
          </w:tcPr>
          <w:p>
            <w:r>
              <w:t>• High burn rate post-close.</w:t>
              <w:br/>
              <w:t>• Regulatory uncertainty in EU market.</w:t>
              <w:br/>
              <w:t>• Competitive hiring landscape.</w:t>
            </w:r>
          </w:p>
        </w:tc>
      </w:tr>
    </w:tbl>
    <w:p>
      <w:r>
        <w:br/>
      </w:r>
    </w:p>
    <w:p>
      <w:pPr>
        <w:pStyle w:val="Heading1"/>
      </w:pPr>
      <w:r>
        <w:t>INVESTMENT COMMITTEE VOTE</w:t>
      </w:r>
    </w:p>
    <w:p>
      <w:r>
        <w:t>☐ APPROVE    ☐ REJECT    ☐ MORE DD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