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VENTURA CAPITAL</w:t>
      </w:r>
    </w:p>
    <w:p>
      <w:pPr>
        <w:pStyle w:val="Subtitle"/>
      </w:pPr>
      <w:r>
        <w:t>QUARTERLY INVESTOR REPORT | Q3 2025</w:t>
      </w:r>
    </w:p>
    <w:p>
      <w:r>
        <w:br/>
        <w:t>CONFIDENTIAL</w:t>
      </w:r>
    </w:p>
    <w:p>
      <w:r>
        <w:br w:type="page"/>
      </w:r>
    </w:p>
    <w:p>
      <w:pPr>
        <w:pStyle w:val="Heading1"/>
      </w:pPr>
      <w:r>
        <w:t>1. General Partner Letter</w:t>
      </w:r>
    </w:p>
    <w:p>
      <w:r>
        <w:t>Dear Limited Partners,</w:t>
      </w:r>
    </w:p>
    <w:p>
      <w:r>
        <w:t>We are pleased to report that Q3 2025 has been a transformative quarter for Fund I. Our 'Moat Building' strategy is yielding tangible results, with our portfolio companies seeing a 45% aggregate revenue increase.</w:t>
      </w:r>
    </w:p>
    <w:p>
      <w:r>
        <w:t>Key highlights:</w:t>
      </w:r>
    </w:p>
    <w:p>
      <w:pPr>
        <w:pStyle w:val="ListBullet"/>
      </w:pPr>
      <w:r>
        <w:t>• 2 New Investments deployed ($30M total).</w:t>
      </w:r>
    </w:p>
    <w:p>
      <w:pPr>
        <w:pStyle w:val="ListBullet"/>
      </w:pPr>
      <w:r>
        <w:t>• 1 Portfolio Company (Nexus AI) raised Series B at 3x markup.</w:t>
      </w:r>
    </w:p>
    <w:p>
      <w:pPr>
        <w:pStyle w:val="ListBullet"/>
      </w:pPr>
      <w:r>
        <w:t>• Fund TVPI currently stands at 1.8x.</w:t>
      </w:r>
    </w:p>
    <w:p>
      <w:pPr>
        <w:pStyle w:val="Heading1"/>
      </w:pPr>
      <w:r>
        <w:t>2. Fund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Q2 2025</w:t>
            </w:r>
          </w:p>
        </w:tc>
        <w:tc>
          <w:tcPr>
            <w:tcW w:type="dxa" w:w="2160"/>
          </w:tcPr>
          <w:p>
            <w:r>
              <w:t>Q3 2025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TVPI (Multiple)</w:t>
            </w:r>
          </w:p>
        </w:tc>
        <w:tc>
          <w:tcPr>
            <w:tcW w:type="dxa" w:w="2160"/>
          </w:tcPr>
          <w:p>
            <w:r>
              <w:t>1.5x</w:t>
            </w:r>
          </w:p>
        </w:tc>
        <w:tc>
          <w:tcPr>
            <w:tcW w:type="dxa" w:w="2160"/>
          </w:tcPr>
          <w:p>
            <w:r>
              <w:t>1.8x</w:t>
            </w:r>
          </w:p>
        </w:tc>
        <w:tc>
          <w:tcPr>
            <w:tcW w:type="dxa" w:w="2160"/>
          </w:tcPr>
          <w:p>
            <w:r>
              <w:t>+0.3x</w:t>
            </w:r>
          </w:p>
        </w:tc>
      </w:tr>
    </w:tbl>
    <w:p>
      <w:pPr>
        <w:pStyle w:val="Heading1"/>
      </w:pPr>
      <w:r>
        <w:t>3. Portfolio Highlights</w:t>
      </w:r>
    </w:p>
    <w:p>
      <w:r>
        <w:rPr>
          <w:b/>
        </w:rPr>
        <w:t>Nexus AI (Generative Design)</w:t>
      </w:r>
    </w:p>
    <w:p>
      <w:r>
        <w:t>Closed $50M Series B led by Sequoia. Revenue up 200% YoY.</w:t>
      </w:r>
    </w:p>
    <w:p/>
    <w:p>
      <w:r>
        <w:rPr>
          <w:b/>
        </w:rPr>
        <w:t>RoboLogic (Industrial Robotics)</w:t>
      </w:r>
    </w:p>
    <w:p>
      <w:r>
        <w:t>Secured contract with Tesla. Manufacturing capacity expanded.</w:t>
      </w:r>
    </w:p>
    <w:p/>
    <w:p>
      <w:r>
        <w:rPr>
          <w:b/>
        </w:rPr>
        <w:t>SynthGen (Bio-AI)</w:t>
      </w:r>
    </w:p>
    <w:p>
      <w:r>
        <w:t>FDA Phase 1 approval granted. Stock up 15% in private markets.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