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 SHEET</w:t>
      </w:r>
    </w:p>
    <w:p>
      <w:pPr>
        <w:pStyle w:val="Subtitle"/>
        <w:jc w:val="center"/>
      </w:pPr>
      <w:r>
        <w:t>FOR SERIES A PREFERRED STOCK FINANCING OF</w:t>
        <w:br/>
        <w:t>[COMPANY NAME]</w:t>
      </w:r>
    </w:p>
    <w:p>
      <w:pPr>
        <w:jc w:val="right"/>
      </w:pPr>
      <w:r>
        <w:t>Date: November 23, 2025</w:t>
      </w:r>
    </w:p>
    <w:p>
      <w:r>
        <w:t>________________________________________________________________________________</w:t>
      </w:r>
    </w:p>
    <w:p>
      <w:pPr>
        <w:jc w:val="both"/>
      </w:pPr>
      <w:r>
        <w:t>This Term Sheet summarizes the principal terms of the Series A Preferred Stock financing of [Company Name], a Delaware corporation (the “Company”). In consideration of the time and expense devoted and to be devoted by the Investors with respect to this investment, the No Shop/Confidentiality provisions of this Term Sheet shall be binding obligations of the Company whether or not the financing is consummated. No other legally binding obligations will be created until definitive agreements are executed and delivered by all parties.</w:t>
      </w:r>
    </w:p>
    <w:tbl>
      <w:tblPr>
        <w:tblStyle w:val="TableGrid"/>
        <w:tblW w:type="auto" w:w="0"/>
        <w:tblLayout w:type="fixed"/>
        <w:tblLook w:firstColumn="1" w:firstRow="1" w:lastColumn="0" w:lastRow="0" w:noHBand="0" w:noVBand="1" w:val="04A0"/>
      </w:tblPr>
      <w:tblGrid>
        <w:gridCol w:w="2880"/>
        <w:gridCol w:w="6480"/>
      </w:tblGrid>
      <w:tr>
        <w:tc>
          <w:tcPr>
            <w:tcW w:type="dxa" w:w="4320"/>
          </w:tcPr>
          <w:p/>
        </w:tc>
        <w:tc>
          <w:tcPr>
            <w:tcW w:type="dxa" w:w="4320"/>
          </w:tcPr>
          <w:p/>
        </w:tc>
      </w:tr>
      <w:tr>
        <w:tc>
          <w:tcPr>
            <w:tcW w:type="dxa" w:w="2880"/>
          </w:tcPr>
          <w:p>
            <w:r>
              <w:rPr>
                <w:b/>
              </w:rPr>
              <w:t>Issuer</w:t>
            </w:r>
          </w:p>
        </w:tc>
        <w:tc>
          <w:tcPr>
            <w:tcW w:type="dxa" w:w="6480"/>
          </w:tcPr>
          <w:p>
            <w:r>
              <w:t>[Company Name]</w:t>
            </w:r>
          </w:p>
        </w:tc>
      </w:tr>
      <w:tr>
        <w:tc>
          <w:tcPr>
            <w:tcW w:type="dxa" w:w="2880"/>
          </w:tcPr>
          <w:p>
            <w:r>
              <w:rPr>
                <w:b/>
              </w:rPr>
              <w:t>Investors</w:t>
            </w:r>
          </w:p>
        </w:tc>
        <w:tc>
          <w:tcPr>
            <w:tcW w:type="dxa" w:w="6480"/>
          </w:tcPr>
          <w:p>
            <w:r>
              <w:t>Ventura Capital (Lead Investor) and others to be agreed.</w:t>
            </w:r>
          </w:p>
        </w:tc>
      </w:tr>
      <w:tr>
        <w:tc>
          <w:tcPr>
            <w:tcW w:type="dxa" w:w="2880"/>
          </w:tcPr>
          <w:p>
            <w:r>
              <w:rPr>
                <w:b/>
              </w:rPr>
              <w:t>Amount of Financing</w:t>
            </w:r>
          </w:p>
        </w:tc>
        <w:tc>
          <w:tcPr>
            <w:tcW w:type="dxa" w:w="6480"/>
          </w:tcPr>
          <w:p>
            <w:r>
              <w:t>$15,000,000</w:t>
            </w:r>
          </w:p>
        </w:tc>
      </w:tr>
      <w:tr>
        <w:tc>
          <w:tcPr>
            <w:tcW w:type="dxa" w:w="2880"/>
          </w:tcPr>
          <w:p>
            <w:r>
              <w:rPr>
                <w:b/>
              </w:rPr>
              <w:t>Valuation</w:t>
            </w:r>
          </w:p>
        </w:tc>
        <w:tc>
          <w:tcPr>
            <w:tcW w:type="dxa" w:w="6480"/>
          </w:tcPr>
          <w:p>
            <w:r>
              <w:t>Pre-money valuation of $60,000,000, resulting in a post-money valuation of $75,000,000.</w:t>
            </w:r>
          </w:p>
        </w:tc>
      </w:tr>
      <w:tr>
        <w:tc>
          <w:tcPr>
            <w:tcW w:type="dxa" w:w="2880"/>
          </w:tcPr>
          <w:p>
            <w:r>
              <w:rPr>
                <w:b/>
              </w:rPr>
              <w:t>Liquidation Preference</w:t>
            </w:r>
          </w:p>
        </w:tc>
        <w:tc>
          <w:tcPr>
            <w:tcW w:type="dxa" w:w="6480"/>
          </w:tcPr>
          <w:p>
            <w:r>
              <w:t>1x Non-Participating Preference. Series A gets paid back first, then participates pro-rata with Common Stock.</w:t>
            </w:r>
          </w:p>
        </w:tc>
      </w:tr>
      <w:tr>
        <w:tc>
          <w:tcPr>
            <w:tcW w:type="dxa" w:w="2880"/>
          </w:tcPr>
          <w:p>
            <w:r>
              <w:rPr>
                <w:b/>
              </w:rPr>
              <w:t>Dividends</w:t>
            </w:r>
          </w:p>
        </w:tc>
        <w:tc>
          <w:tcPr>
            <w:tcW w:type="dxa" w:w="6480"/>
          </w:tcPr>
          <w:p>
            <w:r>
              <w:t>8% non-cumulative, payable if and when declared by Board.</w:t>
            </w:r>
          </w:p>
        </w:tc>
      </w:tr>
      <w:tr>
        <w:tc>
          <w:tcPr>
            <w:tcW w:type="dxa" w:w="2880"/>
          </w:tcPr>
          <w:p>
            <w:r>
              <w:rPr>
                <w:b/>
              </w:rPr>
              <w:t>Board of Directors</w:t>
            </w:r>
          </w:p>
        </w:tc>
        <w:tc>
          <w:tcPr>
            <w:tcW w:type="dxa" w:w="6480"/>
          </w:tcPr>
          <w:p>
            <w:r>
              <w:t>The Board shall consist of 5 members: 2 founders, 1 Ventura Capital representative, 2 independent directors.</w:t>
            </w:r>
          </w:p>
        </w:tc>
      </w:tr>
      <w:tr>
        <w:tc>
          <w:tcPr>
            <w:tcW w:type="dxa" w:w="2880"/>
          </w:tcPr>
          <w:p>
            <w:r>
              <w:rPr>
                <w:b/>
              </w:rPr>
              <w:t>Vesting</w:t>
            </w:r>
          </w:p>
        </w:tc>
        <w:tc>
          <w:tcPr>
            <w:tcW w:type="dxa" w:w="6480"/>
          </w:tcPr>
          <w:p>
            <w:r>
              <w:t>Standard 4-year vesting for founders/employees with 1-year cliff.</w:t>
            </w:r>
          </w:p>
        </w:tc>
      </w:tr>
      <w:tr>
        <w:tc>
          <w:tcPr>
            <w:tcW w:type="dxa" w:w="2880"/>
          </w:tcPr>
          <w:p>
            <w:r>
              <w:rPr>
                <w:b/>
              </w:rPr>
              <w:t>Anti-Dilution</w:t>
            </w:r>
          </w:p>
        </w:tc>
        <w:tc>
          <w:tcPr>
            <w:tcW w:type="dxa" w:w="6480"/>
          </w:tcPr>
          <w:p>
            <w:r>
              <w:t>Broad-based weighted average anti-dilution protection.</w:t>
            </w:r>
          </w:p>
        </w:tc>
      </w:tr>
      <w:tr>
        <w:tc>
          <w:tcPr>
            <w:tcW w:type="dxa" w:w="2880"/>
          </w:tcPr>
          <w:p>
            <w:r>
              <w:rPr>
                <w:b/>
              </w:rPr>
              <w:t>Exclusivity (No Shop)</w:t>
            </w:r>
          </w:p>
        </w:tc>
        <w:tc>
          <w:tcPr>
            <w:tcW w:type="dxa" w:w="6480"/>
          </w:tcPr>
          <w:p>
            <w:r>
              <w:t>30 days from the signing of this Term Sheet.</w:t>
            </w:r>
          </w:p>
        </w:tc>
      </w:tr>
    </w:tbl>
    <w:p>
      <w:r>
        <w:br/>
      </w:r>
    </w:p>
    <w:p>
      <w:pPr>
        <w:pStyle w:val="Heading3"/>
      </w:pPr>
      <w:r>
        <w:t>ACCEPTED AND AGREED:</w:t>
      </w:r>
    </w:p>
    <w:tbl>
      <w:tblPr>
        <w:tblW w:type="auto" w:w="0"/>
        <w:tblLook w:firstColumn="1" w:firstRow="1" w:lastColumn="0" w:lastRow="0" w:noHBand="0" w:noVBand="1" w:val="04A0"/>
      </w:tblPr>
      <w:tblGrid>
        <w:gridCol w:w="4320"/>
        <w:gridCol w:w="4320"/>
      </w:tblGrid>
      <w:tr>
        <w:tc>
          <w:tcPr>
            <w:tcW w:type="dxa" w:w="4320"/>
          </w:tcPr>
          <w:p>
            <w:r>
              <w:t>VENTURA CAPITAL</w:t>
              <w:br/>
              <w:br/>
              <w:t>By: __________________</w:t>
              <w:br/>
              <w:t>Name: Adan Munoz</w:t>
              <w:br/>
              <w:t>Title: General Partner</w:t>
            </w:r>
          </w:p>
        </w:tc>
        <w:tc>
          <w:tcPr>
            <w:tcW w:type="dxa" w:w="4320"/>
          </w:tcPr>
          <w:p>
            <w:r>
              <w:t>COMPANY</w:t>
              <w:br/>
              <w:br/>
              <w:t>By: __________________</w:t>
              <w:br/>
              <w:t>Name: [Founder Name]</w:t>
              <w:br/>
              <w:t>Title: CEO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