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VALUATION POLICY &amp; PROCEDURES</w:t>
      </w:r>
    </w:p>
    <w:p>
      <w:r>
        <w:t>Effective Date: January 1, 2025</w:t>
        <w:br/>
        <w:t>Approver: Investment Committee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Purpose</w:t>
      </w:r>
    </w:p>
    <w:p>
      <w:r>
        <w:t>This policy establishes the guidelines for the valuation of investments held by Ventura Capital, consistent with US GAAP (ASC 820) and IPEV Guidelines.</w:t>
      </w:r>
    </w:p>
    <w:p>
      <w:pPr>
        <w:pStyle w:val="Heading1"/>
      </w:pPr>
      <w:r>
        <w:t>2. Fair Value Hierarchy</w:t>
      </w:r>
    </w:p>
    <w:p>
      <w:r>
        <w:t>Level 1: Quoted prices in active markets (e.g., Publicly traded stock post-IPO).</w:t>
      </w:r>
    </w:p>
    <w:p>
      <w:r>
        <w:t>Level 2: Observable inputs other than quoted prices (e.g., Recent financing rounds).</w:t>
      </w:r>
    </w:p>
    <w:p>
      <w:r>
        <w:t>Level 3: Unobservable inputs (e.g., DCF models, option pricing models).</w:t>
      </w:r>
    </w:p>
    <w:p>
      <w:pPr>
        <w:pStyle w:val="Heading1"/>
      </w:pPr>
      <w:r>
        <w:t>3. Valuation Methodologies</w:t>
      </w:r>
    </w:p>
    <w:p>
      <w:pPr>
        <w:pStyle w:val="Heading3"/>
      </w:pPr>
      <w:r>
        <w:t>A. Recent Transaction (Price of Recent Investment):</w:t>
      </w:r>
    </w:p>
    <w:p>
      <w:r>
        <w:t>The primary indicator of fair value for early-stage companies is the price of the most recent equity financing round led by an external institutional investor.</w:t>
      </w:r>
    </w:p>
    <w:p>
      <w:pPr>
        <w:pStyle w:val="Heading3"/>
      </w:pPr>
      <w:r>
        <w:t>B. Market Approach (Multiples):</w:t>
      </w:r>
    </w:p>
    <w:p>
      <w:r>
        <w:t>For revenue-generating companies, value may be calibrated using Comparable Company Multiples (e.g., EV/Revenue) derived from public peers.</w:t>
      </w:r>
    </w:p>
    <w:p>
      <w:pPr>
        <w:pStyle w:val="Heading1"/>
      </w:pPr>
      <w:r>
        <w:t>4. Impairment</w:t>
      </w:r>
    </w:p>
    <w:p>
      <w:r>
        <w:t>Investments shall be written down if there is a significant deterioration in credit quality, loss of a major customer, or failure to meet milestones that threatens viability.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