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sz w:val="72"/>
        </w:rPr>
        <w:t>VENTURE CAPITAL</w:t>
      </w:r>
    </w:p>
    <w:p>
      <w:pPr>
        <w:pStyle w:val="Heading1"/>
        <w:jc w:val="center"/>
      </w:pPr>
      <w:r>
        <w:rPr>
          <w:color w:val="6B7280"/>
          <w:sz w:val="40"/>
        </w:rPr>
        <w:t>Análisis Profesional de Inversión</w:t>
      </w:r>
    </w:p>
    <w:p>
      <w:pPr>
        <w:jc w:val="center"/>
      </w:pPr>
      <w:r>
        <w:rPr>
          <w:i/>
          <w:sz w:val="24"/>
        </w:rPr>
        <w:t>Documento Generado: 23 de November de 2025</w:t>
      </w:r>
    </w:p>
    <w:p>
      <w:pPr>
        <w:jc w:val="center"/>
      </w:pPr>
      <w:r>
        <w:rPr>
          <w:color w:val="3B82F6"/>
          <w:sz w:val="22"/>
        </w:rPr>
        <w:t>Versión Mejorada con Análisis Avanzados</w:t>
      </w:r>
    </w:p>
    <w:p>
      <w:r>
        <w:br w:type="page"/>
      </w:r>
    </w:p>
    <w:p>
      <w:pPr>
        <w:pStyle w:val="Heading1"/>
      </w:pPr>
      <w:r>
        <w:t>ÍNDICE</w:t>
      </w:r>
    </w:p>
    <w:p>
      <w:r>
        <w:rPr>
          <w:sz w:val="22"/>
        </w:rPr>
        <w:t>1. Resumen Ejecutivo</w:t>
      </w:r>
    </w:p>
    <w:p>
      <w:r>
        <w:rPr>
          <w:sz w:val="22"/>
        </w:rPr>
        <w:t>2. Tabla de Capitalización (Cap Table)</w:t>
      </w:r>
    </w:p>
    <w:p>
      <w:r>
        <w:rPr>
          <w:sz w:val="22"/>
        </w:rPr>
        <w:t>3. Análisis Waterfall de Liquidación</w:t>
      </w:r>
    </w:p>
    <w:p>
      <w:r>
        <w:rPr>
          <w:sz w:val="22"/>
        </w:rPr>
        <w:t>4. Análisis de Term Sheet</w:t>
      </w:r>
    </w:p>
    <w:p>
      <w:r>
        <w:rPr>
          <w:sz w:val="22"/>
        </w:rPr>
        <w:t>5. Comparación de Múltiples de Valuación</w:t>
      </w:r>
    </w:p>
    <w:p>
      <w:r>
        <w:rPr>
          <w:sz w:val="22"/>
        </w:rPr>
        <w:t>6. Rondas de Financiamiento</w:t>
      </w:r>
    </w:p>
    <w:p>
      <w:r>
        <w:rPr>
          <w:sz w:val="22"/>
        </w:rPr>
        <w:t>7. Proyecciones Financieras con Sensitividad</w:t>
      </w:r>
    </w:p>
    <w:p>
      <w:r>
        <w:rPr>
          <w:sz w:val="22"/>
        </w:rPr>
        <w:t>8. Análisis de Riesgo</w:t>
      </w:r>
    </w:p>
    <w:p>
      <w:r>
        <w:rPr>
          <w:sz w:val="22"/>
        </w:rPr>
        <w:t>9. Retorno de Inversión</w:t>
      </w:r>
    </w:p>
    <w:p>
      <w:r>
        <w:rPr>
          <w:sz w:val="22"/>
        </w:rPr>
        <w:t>10. Conclusiones y Recomendaciones</w:t>
      </w:r>
    </w:p>
    <w:p>
      <w:r>
        <w:br w:type="page"/>
      </w:r>
    </w:p>
    <w:p>
      <w:pPr>
        <w:pStyle w:val="Heading1"/>
      </w:pPr>
      <w:r>
        <w:t>1. Resumen Ejecutivo</w:t>
      </w:r>
    </w:p>
    <w:p>
      <w:r>
        <w:rPr>
          <w:sz w:val="22"/>
        </w:rPr>
        <w:t>Este documento presenta un análisis completo y mejorado de inversión en venture capital para una startup de inteligencia artificial en el sector de marketing. El análisis incluye proyecciones financieras detalladas, análisis de riesgo avanzado, estructura de fondos, cap table, waterfall analysis, term sheet comparison y múltiples escenarios de retorno de inversión.</w:t>
      </w:r>
    </w:p>
    <w:p>
      <w:pPr>
        <w:pStyle w:val="Heading2"/>
      </w:pPr>
      <w:r>
        <w:t>Métricas Clave de Inversión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8a"/>
          </w:tcPr>
          <w:p>
            <w:r>
              <w:rPr>
                <w:b/>
                <w:color w:val="FFFFFF"/>
              </w:rPr>
              <w:t>Métrica</w:t>
            </w:r>
          </w:p>
        </w:tc>
        <w:tc>
          <w:tcPr>
            <w:tcW w:type="dxa" w:w="1568"/>
            <w:shd w:fill="1e3a8a"/>
          </w:tcPr>
          <w:p>
            <w:r>
              <w:rPr>
                <w:b/>
                <w:color w:val="FFFFFF"/>
              </w:rPr>
              <w:t>Valor Actual</w:t>
            </w:r>
          </w:p>
        </w:tc>
        <w:tc>
          <w:tcPr>
            <w:tcW w:type="dxa" w:w="1568"/>
            <w:shd w:fill="1e3a8a"/>
          </w:tcPr>
          <w:p>
            <w:r>
              <w:rPr>
                <w:b/>
                <w:color w:val="FFFFFF"/>
              </w:rPr>
              <w:t>Objetivo</w:t>
            </w:r>
          </w:p>
        </w:tc>
        <w:tc>
          <w:tcPr>
            <w:tcW w:type="dxa" w:w="1568"/>
            <w:shd w:fill="1e3a8a"/>
          </w:tcPr>
          <w:p>
            <w:r>
              <w:rPr>
                <w:b/>
                <w:color w:val="FFFFFF"/>
              </w:rPr>
              <w:t>Estado</w:t>
            </w:r>
          </w:p>
        </w:tc>
        <w:tc>
          <w:tcPr>
            <w:tcW w:type="dxa" w:w="1568"/>
            <w:shd w:fill="1e3a8a"/>
          </w:tcPr>
          <w:p>
            <w:r>
              <w:rPr>
                <w:b/>
                <w:color w:val="FFFFFF"/>
              </w:rPr>
              <w:t>Tendencia</w:t>
            </w:r>
          </w:p>
        </w:tc>
        <w:tc>
          <w:tcPr>
            <w:tcW w:type="dxa" w:w="1568"/>
            <w:shd w:fill="1e3a8a"/>
          </w:tcPr>
          <w:p>
            <w:r>
              <w:rPr>
                <w:b/>
                <w:color w:val="FFFFFF"/>
              </w:rPr>
              <w:t>Notas</w:t>
            </w:r>
          </w:p>
        </w:tc>
      </w:tr>
      <w:tr>
        <w:tc>
          <w:tcPr>
            <w:tcW w:type="dxa" w:w="1568"/>
          </w:tcPr>
          <w:p>
            <w:r>
              <w:t>TAM (Total Addressable Market)</w:t>
            </w:r>
          </w:p>
        </w:tc>
        <w:tc>
          <w:tcPr>
            <w:tcW w:type="dxa" w:w="1568"/>
          </w:tcPr>
          <w:p>
            <w:r>
              <w:t>$13.1B</w:t>
            </w:r>
          </w:p>
        </w:tc>
        <w:tc>
          <w:tcPr>
            <w:tcW w:type="dxa" w:w="1568"/>
          </w:tcPr>
          <w:p>
            <w:r>
              <w:t>$15B+</w:t>
            </w:r>
          </w:p>
        </w:tc>
        <w:tc>
          <w:tcPr>
            <w:tcW w:type="dxa" w:w="1568"/>
          </w:tcPr>
          <w:p>
            <w:r>
              <w:t>✓</w:t>
            </w:r>
          </w:p>
        </w:tc>
        <w:tc>
          <w:tcPr>
            <w:tcW w:type="dxa" w:w="1568"/>
          </w:tcPr>
          <w:p>
            <w:r>
              <w:t>↑ Crecimiento</w:t>
            </w:r>
          </w:p>
        </w:tc>
        <w:tc>
          <w:tcPr>
            <w:tcW w:type="dxa" w:w="1568"/>
          </w:tcPr>
          <w:p>
            <w:r>
              <w:t>Mercado en expansión</w:t>
            </w:r>
          </w:p>
        </w:tc>
      </w:tr>
      <w:tr>
        <w:tc>
          <w:tcPr>
            <w:tcW w:type="dxa" w:w="1568"/>
          </w:tcPr>
          <w:p>
            <w:r>
              <w:t>SAM (Serviceable Addressable Market)</w:t>
            </w:r>
          </w:p>
        </w:tc>
        <w:tc>
          <w:tcPr>
            <w:tcW w:type="dxa" w:w="1568"/>
          </w:tcPr>
          <w:p>
            <w:r>
              <w:t>$2.52B</w:t>
            </w:r>
          </w:p>
        </w:tc>
        <w:tc>
          <w:tcPr>
            <w:tcW w:type="dxa" w:w="1568"/>
          </w:tcPr>
          <w:p>
            <w:r>
              <w:t>$3B+</w:t>
            </w:r>
          </w:p>
        </w:tc>
        <w:tc>
          <w:tcPr>
            <w:tcW w:type="dxa" w:w="1568"/>
          </w:tcPr>
          <w:p>
            <w:r>
              <w:t>✓</w:t>
            </w:r>
          </w:p>
        </w:tc>
        <w:tc>
          <w:tcPr>
            <w:tcW w:type="dxa" w:w="1568"/>
          </w:tcPr>
          <w:p>
            <w:r>
              <w:t>↑ Crecimiento</w:t>
            </w:r>
          </w:p>
        </w:tc>
        <w:tc>
          <w:tcPr>
            <w:tcW w:type="dxa" w:w="1568"/>
          </w:tcPr>
          <w:p>
            <w:r>
              <w:t>19% del TAM</w:t>
            </w:r>
          </w:p>
        </w:tc>
      </w:tr>
      <w:tr>
        <w:tc>
          <w:tcPr>
            <w:tcW w:type="dxa" w:w="1568"/>
          </w:tcPr>
          <w:p>
            <w:r>
              <w:t>SOM (Serviceable Obtainable Market)</w:t>
            </w:r>
          </w:p>
        </w:tc>
        <w:tc>
          <w:tcPr>
            <w:tcW w:type="dxa" w:w="1568"/>
          </w:tcPr>
          <w:p>
            <w:r>
              <w:t>$126M</w:t>
            </w:r>
          </w:p>
        </w:tc>
        <w:tc>
          <w:tcPr>
            <w:tcW w:type="dxa" w:w="1568"/>
          </w:tcPr>
          <w:p>
            <w:r>
              <w:t>$200M+</w:t>
            </w:r>
          </w:p>
        </w:tc>
        <w:tc>
          <w:tcPr>
            <w:tcW w:type="dxa" w:w="1568"/>
          </w:tcPr>
          <w:p>
            <w:r>
              <w:t>⚠</w:t>
            </w:r>
          </w:p>
        </w:tc>
        <w:tc>
          <w:tcPr>
            <w:tcW w:type="dxa" w:w="1568"/>
          </w:tcPr>
          <w:p>
            <w:r>
              <w:t>↑ Crecimiento</w:t>
            </w:r>
          </w:p>
        </w:tc>
        <w:tc>
          <w:tcPr>
            <w:tcW w:type="dxa" w:w="1568"/>
          </w:tcPr>
          <w:p>
            <w:r>
              <w:t>5% del SAM</w:t>
            </w:r>
          </w:p>
        </w:tc>
      </w:tr>
      <w:tr>
        <w:tc>
          <w:tcPr>
            <w:tcW w:type="dxa" w:w="1568"/>
          </w:tcPr>
          <w:p>
            <w:r>
              <w:t>CAGR del Mercado</w:t>
            </w:r>
          </w:p>
        </w:tc>
        <w:tc>
          <w:tcPr>
            <w:tcW w:type="dxa" w:w="1568"/>
          </w:tcPr>
          <w:p>
            <w:r>
              <w:t>25.1%</w:t>
            </w:r>
          </w:p>
        </w:tc>
        <w:tc>
          <w:tcPr>
            <w:tcW w:type="dxa" w:w="1568"/>
          </w:tcPr>
          <w:p>
            <w:r>
              <w:t>20%+</w:t>
            </w:r>
          </w:p>
        </w:tc>
        <w:tc>
          <w:tcPr>
            <w:tcW w:type="dxa" w:w="1568"/>
          </w:tcPr>
          <w:p>
            <w:r>
              <w:t>✓</w:t>
            </w:r>
          </w:p>
        </w:tc>
        <w:tc>
          <w:tcPr>
            <w:tcW w:type="dxa" w:w="1568"/>
          </w:tcPr>
          <w:p>
            <w:r>
              <w:t>↑ Excelente</w:t>
            </w:r>
          </w:p>
        </w:tc>
        <w:tc>
          <w:tcPr>
            <w:tcW w:type="dxa" w:w="1568"/>
          </w:tcPr>
          <w:p>
            <w:r>
              <w:t>Crecimiento acelerado</w:t>
            </w:r>
          </w:p>
        </w:tc>
      </w:tr>
      <w:tr>
        <w:tc>
          <w:tcPr>
            <w:tcW w:type="dxa" w:w="1568"/>
          </w:tcPr>
          <w:p>
            <w:r>
              <w:t>Valuación Actual</w:t>
            </w:r>
          </w:p>
        </w:tc>
        <w:tc>
          <w:tcPr>
            <w:tcW w:type="dxa" w:w="1568"/>
          </w:tcPr>
          <w:p>
            <w:r>
              <w:t>$50M</w:t>
            </w:r>
          </w:p>
        </w:tc>
        <w:tc>
          <w:tcPr>
            <w:tcW w:type="dxa" w:w="1568"/>
          </w:tcPr>
          <w:p>
            <w:r>
              <w:t>$100M+</w:t>
            </w:r>
          </w:p>
        </w:tc>
        <w:tc>
          <w:tcPr>
            <w:tcW w:type="dxa" w:w="1568"/>
          </w:tcPr>
          <w:p>
            <w:r>
              <w:t>⚠</w:t>
            </w:r>
          </w:p>
        </w:tc>
        <w:tc>
          <w:tcPr>
            <w:tcW w:type="dxa" w:w="1568"/>
          </w:tcPr>
          <w:p>
            <w:r>
              <w:t>↑ En aumento</w:t>
            </w:r>
          </w:p>
        </w:tc>
        <w:tc>
          <w:tcPr>
            <w:tcW w:type="dxa" w:w="1568"/>
          </w:tcPr>
          <w:p>
            <w:r>
              <w:t>Pre-Series B</w:t>
            </w:r>
          </w:p>
        </w:tc>
      </w:tr>
      <w:tr>
        <w:tc>
          <w:tcPr>
            <w:tcW w:type="dxa" w:w="1568"/>
          </w:tcPr>
          <w:p>
            <w:r>
              <w:t>ARR Actual</w:t>
            </w:r>
          </w:p>
        </w:tc>
        <w:tc>
          <w:tcPr>
            <w:tcW w:type="dxa" w:w="1568"/>
          </w:tcPr>
          <w:p>
            <w:r>
              <w:t>$3.36M</w:t>
            </w:r>
          </w:p>
        </w:tc>
        <w:tc>
          <w:tcPr>
            <w:tcW w:type="dxa" w:w="1568"/>
          </w:tcPr>
          <w:p>
            <w:r>
              <w:t>$10M+</w:t>
            </w:r>
          </w:p>
        </w:tc>
        <w:tc>
          <w:tcPr>
            <w:tcW w:type="dxa" w:w="1568"/>
          </w:tcPr>
          <w:p>
            <w:r>
              <w:t>⚠</w:t>
            </w:r>
          </w:p>
        </w:tc>
        <w:tc>
          <w:tcPr>
            <w:tcW w:type="dxa" w:w="1568"/>
          </w:tcPr>
          <w:p>
            <w:r>
              <w:t>↑ Crecimiento</w:t>
            </w:r>
          </w:p>
        </w:tc>
        <w:tc>
          <w:tcPr>
            <w:tcW w:type="dxa" w:w="1568"/>
          </w:tcPr>
          <w:p>
            <w:r>
              <w:t>93% CAGR proyectado</w:t>
            </w:r>
          </w:p>
        </w:tc>
      </w:tr>
      <w:tr>
        <w:tc>
          <w:tcPr>
            <w:tcW w:type="dxa" w:w="1568"/>
          </w:tcPr>
          <w:p>
            <w:r>
              <w:t>LTV/CAC Ratio</w:t>
            </w:r>
          </w:p>
        </w:tc>
        <w:tc>
          <w:tcPr>
            <w:tcW w:type="dxa" w:w="1568"/>
          </w:tcPr>
          <w:p>
            <w:r>
              <w:t>271:1</w:t>
            </w:r>
          </w:p>
        </w:tc>
        <w:tc>
          <w:tcPr>
            <w:tcW w:type="dxa" w:w="1568"/>
          </w:tcPr>
          <w:p>
            <w:r>
              <w:t>200:1+</w:t>
            </w:r>
          </w:p>
        </w:tc>
        <w:tc>
          <w:tcPr>
            <w:tcW w:type="dxa" w:w="1568"/>
          </w:tcPr>
          <w:p>
            <w:r>
              <w:t>✓</w:t>
            </w:r>
          </w:p>
        </w:tc>
        <w:tc>
          <w:tcPr>
            <w:tcW w:type="dxa" w:w="1568"/>
          </w:tcPr>
          <w:p>
            <w:r>
              <w:t>↑ Excelente</w:t>
            </w:r>
          </w:p>
        </w:tc>
        <w:tc>
          <w:tcPr>
            <w:tcW w:type="dxa" w:w="1568"/>
          </w:tcPr>
          <w:p>
            <w:r>
              <w:t>Unit economics fuertes</w:t>
            </w:r>
          </w:p>
        </w:tc>
      </w:tr>
      <w:tr>
        <w:tc>
          <w:tcPr>
            <w:tcW w:type="dxa" w:w="1568"/>
          </w:tcPr>
          <w:p>
            <w:r>
              <w:t>Gross Margin</w:t>
            </w:r>
          </w:p>
        </w:tc>
        <w:tc>
          <w:tcPr>
            <w:tcW w:type="dxa" w:w="1568"/>
          </w:tcPr>
          <w:p>
            <w:r>
              <w:t>80%</w:t>
            </w:r>
          </w:p>
        </w:tc>
        <w:tc>
          <w:tcPr>
            <w:tcW w:type="dxa" w:w="1568"/>
          </w:tcPr>
          <w:p>
            <w:r>
              <w:t>75%+</w:t>
            </w:r>
          </w:p>
        </w:tc>
        <w:tc>
          <w:tcPr>
            <w:tcW w:type="dxa" w:w="1568"/>
          </w:tcPr>
          <w:p>
            <w:r>
              <w:t>✓</w:t>
            </w:r>
          </w:p>
        </w:tc>
        <w:tc>
          <w:tcPr>
            <w:tcW w:type="dxa" w:w="1568"/>
          </w:tcPr>
          <w:p>
            <w:r>
              <w:t>↑ Estable</w:t>
            </w:r>
          </w:p>
        </w:tc>
        <w:tc>
          <w:tcPr>
            <w:tcW w:type="dxa" w:w="1568"/>
          </w:tcPr>
          <w:p>
            <w:r>
              <w:t>Margen saludable</w:t>
            </w:r>
          </w:p>
        </w:tc>
      </w:tr>
      <w:tr>
        <w:tc>
          <w:tcPr>
            <w:tcW w:type="dxa" w:w="1568"/>
          </w:tcPr>
          <w:p>
            <w:r>
              <w:t>Burn Multiple</w:t>
            </w:r>
          </w:p>
        </w:tc>
        <w:tc>
          <w:tcPr>
            <w:tcW w:type="dxa" w:w="1568"/>
          </w:tcPr>
          <w:p>
            <w:r>
              <w:t>3.26</w:t>
            </w:r>
          </w:p>
        </w:tc>
        <w:tc>
          <w:tcPr>
            <w:tcW w:type="dxa" w:w="1568"/>
          </w:tcPr>
          <w:p>
            <w:r>
              <w:t>&lt;2.0</w:t>
            </w:r>
          </w:p>
        </w:tc>
        <w:tc>
          <w:tcPr>
            <w:tcW w:type="dxa" w:w="1568"/>
          </w:tcPr>
          <w:p>
            <w:r>
              <w:t>⚠</w:t>
            </w:r>
          </w:p>
        </w:tc>
        <w:tc>
          <w:tcPr>
            <w:tcW w:type="dxa" w:w="1568"/>
          </w:tcPr>
          <w:p>
            <w:r>
              <w:t>↓ Mejorando</w:t>
            </w:r>
          </w:p>
        </w:tc>
        <w:tc>
          <w:tcPr>
            <w:tcW w:type="dxa" w:w="1568"/>
          </w:tcPr>
          <w:p>
            <w:r>
              <w:t>Optimización en curso</w:t>
            </w:r>
          </w:p>
        </w:tc>
      </w:tr>
      <w:tr>
        <w:tc>
          <w:tcPr>
            <w:tcW w:type="dxa" w:w="1568"/>
          </w:tcPr>
          <w:p>
            <w:r>
              <w:t>Rule of 40</w:t>
            </w:r>
          </w:p>
        </w:tc>
        <w:tc>
          <w:tcPr>
            <w:tcW w:type="dxa" w:w="1568"/>
          </w:tcPr>
          <w:p>
            <w:r>
              <w:t>135%</w:t>
            </w:r>
          </w:p>
        </w:tc>
        <w:tc>
          <w:tcPr>
            <w:tcW w:type="dxa" w:w="1568"/>
          </w:tcPr>
          <w:p>
            <w:r>
              <w:t>40%+</w:t>
            </w:r>
          </w:p>
        </w:tc>
        <w:tc>
          <w:tcPr>
            <w:tcW w:type="dxa" w:w="1568"/>
          </w:tcPr>
          <w:p>
            <w:r>
              <w:t>✓</w:t>
            </w:r>
          </w:p>
        </w:tc>
        <w:tc>
          <w:tcPr>
            <w:tcW w:type="dxa" w:w="1568"/>
          </w:tcPr>
          <w:p>
            <w:r>
              <w:t>↑ Excelente</w:t>
            </w:r>
          </w:p>
        </w:tc>
        <w:tc>
          <w:tcPr>
            <w:tcW w:type="dxa" w:w="1568"/>
          </w:tcPr>
          <w:p>
            <w:r>
              <w:t>Crecimiento + Rentabilidad</w:t>
            </w:r>
          </w:p>
        </w:tc>
      </w:tr>
    </w:tbl>
    <w:p>
      <w:r>
        <w:br w:type="page"/>
      </w:r>
    </w:p>
    <w:p>
      <w:pPr>
        <w:pStyle w:val="Heading1"/>
      </w:pPr>
      <w:r>
        <w:t>2. Tabla de Capitalización (Cap Table)</w:t>
      </w:r>
    </w:p>
    <w:p>
      <w:r>
        <w:t>La tabla de capitalización muestra la evolución de la propiedad de la empresa a través de las diferentes rondas de financiamiento, incluyendo la dilución de fundadores, empleados e inversores.</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e3a8a"/>
          </w:tcPr>
          <w:p>
            <w:r>
              <w:rPr>
                <w:b/>
                <w:color w:val="FFFFFF"/>
              </w:rPr>
              <w:t>Accionista</w:t>
            </w:r>
          </w:p>
        </w:tc>
        <w:tc>
          <w:tcPr>
            <w:tcW w:type="dxa" w:w="1176"/>
            <w:shd w:fill="1e3a8a"/>
          </w:tcPr>
          <w:p>
            <w:r>
              <w:rPr>
                <w:b/>
                <w:color w:val="FFFFFF"/>
              </w:rPr>
              <w:t>Pre-Seed</w:t>
            </w:r>
          </w:p>
        </w:tc>
        <w:tc>
          <w:tcPr>
            <w:tcW w:type="dxa" w:w="1176"/>
            <w:shd w:fill="1e3a8a"/>
          </w:tcPr>
          <w:p>
            <w:r>
              <w:rPr>
                <w:b/>
                <w:color w:val="FFFFFF"/>
              </w:rPr>
              <w:t>Seed</w:t>
            </w:r>
          </w:p>
        </w:tc>
        <w:tc>
          <w:tcPr>
            <w:tcW w:type="dxa" w:w="1176"/>
            <w:shd w:fill="1e3a8a"/>
          </w:tcPr>
          <w:p>
            <w:r>
              <w:rPr>
                <w:b/>
                <w:color w:val="FFFFFF"/>
              </w:rPr>
              <w:t>Series A</w:t>
            </w:r>
          </w:p>
        </w:tc>
        <w:tc>
          <w:tcPr>
            <w:tcW w:type="dxa" w:w="1176"/>
            <w:shd w:fill="1e3a8a"/>
          </w:tcPr>
          <w:p>
            <w:r>
              <w:rPr>
                <w:b/>
                <w:color w:val="FFFFFF"/>
              </w:rPr>
              <w:t>Series B</w:t>
            </w:r>
          </w:p>
        </w:tc>
        <w:tc>
          <w:tcPr>
            <w:tcW w:type="dxa" w:w="1176"/>
            <w:shd w:fill="1e3a8a"/>
          </w:tcPr>
          <w:p>
            <w:r>
              <w:rPr>
                <w:b/>
                <w:color w:val="FFFFFF"/>
              </w:rPr>
              <w:t>Series C</w:t>
            </w:r>
          </w:p>
        </w:tc>
        <w:tc>
          <w:tcPr>
            <w:tcW w:type="dxa" w:w="1176"/>
            <w:shd w:fill="1e3a8a"/>
          </w:tcPr>
          <w:p>
            <w:r>
              <w:rPr>
                <w:b/>
                <w:color w:val="FFFFFF"/>
              </w:rPr>
              <w:t>IPO</w:t>
            </w:r>
          </w:p>
        </w:tc>
        <w:tc>
          <w:tcPr>
            <w:tcW w:type="dxa" w:w="1176"/>
            <w:shd w:fill="1e3a8a"/>
          </w:tcPr>
          <w:p>
            <w:r>
              <w:rPr>
                <w:b/>
                <w:color w:val="FFFFFF"/>
              </w:rPr>
              <w:t>% Final</w:t>
            </w:r>
          </w:p>
        </w:tc>
      </w:tr>
      <w:tr>
        <w:tc>
          <w:tcPr>
            <w:tcW w:type="dxa" w:w="1176"/>
          </w:tcPr>
          <w:p>
            <w:r>
              <w:t>Fundadores</w:t>
            </w:r>
          </w:p>
        </w:tc>
        <w:tc>
          <w:tcPr>
            <w:tcW w:type="dxa" w:w="1176"/>
          </w:tcPr>
          <w:p>
            <w:r>
              <w:t>100%</w:t>
            </w:r>
          </w:p>
        </w:tc>
        <w:tc>
          <w:tcPr>
            <w:tcW w:type="dxa" w:w="1176"/>
          </w:tcPr>
          <w:p>
            <w:r>
              <w:t>80%</w:t>
            </w:r>
          </w:p>
        </w:tc>
        <w:tc>
          <w:tcPr>
            <w:tcW w:type="dxa" w:w="1176"/>
          </w:tcPr>
          <w:p>
            <w:r>
              <w:t>60%</w:t>
            </w:r>
          </w:p>
        </w:tc>
        <w:tc>
          <w:tcPr>
            <w:tcW w:type="dxa" w:w="1176"/>
          </w:tcPr>
          <w:p>
            <w:r>
              <w:t>45%</w:t>
            </w:r>
          </w:p>
        </w:tc>
        <w:tc>
          <w:tcPr>
            <w:tcW w:type="dxa" w:w="1176"/>
          </w:tcPr>
          <w:p>
            <w:r>
              <w:t>35%</w:t>
            </w:r>
          </w:p>
        </w:tc>
        <w:tc>
          <w:tcPr>
            <w:tcW w:type="dxa" w:w="1176"/>
          </w:tcPr>
          <w:p>
            <w:r>
              <w:t>30%</w:t>
            </w:r>
          </w:p>
        </w:tc>
        <w:tc>
          <w:tcPr>
            <w:tcW w:type="dxa" w:w="1176"/>
          </w:tcPr>
          <w:p>
            <w:r>
              <w:t>30%</w:t>
            </w:r>
          </w:p>
        </w:tc>
      </w:tr>
      <w:tr>
        <w:tc>
          <w:tcPr>
            <w:tcW w:type="dxa" w:w="1176"/>
          </w:tcPr>
          <w:p>
            <w:r>
              <w:t>Empleados (ESOP)</w:t>
            </w:r>
          </w:p>
        </w:tc>
        <w:tc>
          <w:tcPr>
            <w:tcW w:type="dxa" w:w="1176"/>
          </w:tcPr>
          <w:p>
            <w:r>
              <w:t>0%</w:t>
            </w:r>
          </w:p>
        </w:tc>
        <w:tc>
          <w:tcPr>
            <w:tcW w:type="dxa" w:w="1176"/>
          </w:tcPr>
          <w:p>
            <w:r>
              <w:t>10%</w:t>
            </w:r>
          </w:p>
        </w:tc>
        <w:tc>
          <w:tcPr>
            <w:tcW w:type="dxa" w:w="1176"/>
          </w:tcPr>
          <w:p>
            <w:r>
              <w:t>15%</w:t>
            </w:r>
          </w:p>
        </w:tc>
        <w:tc>
          <w:tcPr>
            <w:tcW w:type="dxa" w:w="1176"/>
          </w:tcPr>
          <w:p>
            <w:r>
              <w:t>18%</w:t>
            </w:r>
          </w:p>
        </w:tc>
        <w:tc>
          <w:tcPr>
            <w:tcW w:type="dxa" w:w="1176"/>
          </w:tcPr>
          <w:p>
            <w:r>
              <w:t>20%</w:t>
            </w:r>
          </w:p>
        </w:tc>
        <w:tc>
          <w:tcPr>
            <w:tcW w:type="dxa" w:w="1176"/>
          </w:tcPr>
          <w:p>
            <w:r>
              <w:t>22%</w:t>
            </w:r>
          </w:p>
        </w:tc>
        <w:tc>
          <w:tcPr>
            <w:tcW w:type="dxa" w:w="1176"/>
          </w:tcPr>
          <w:p>
            <w:r>
              <w:t>22%</w:t>
            </w:r>
          </w:p>
        </w:tc>
      </w:tr>
      <w:tr>
        <w:tc>
          <w:tcPr>
            <w:tcW w:type="dxa" w:w="1176"/>
          </w:tcPr>
          <w:p>
            <w:r>
              <w:t>Pre-Seed Investors</w:t>
            </w:r>
          </w:p>
        </w:tc>
        <w:tc>
          <w:tcPr>
            <w:tcW w:type="dxa" w:w="1176"/>
          </w:tcPr>
          <w:p>
            <w:r>
              <w:t>0%</w:t>
            </w:r>
          </w:p>
        </w:tc>
        <w:tc>
          <w:tcPr>
            <w:tcW w:type="dxa" w:w="1176"/>
          </w:tcPr>
          <w:p>
            <w:r>
              <w:t>10%</w:t>
            </w:r>
          </w:p>
        </w:tc>
        <w:tc>
          <w:tcPr>
            <w:tcW w:type="dxa" w:w="1176"/>
          </w:tcPr>
          <w:p>
            <w:r>
              <w:t>8%</w:t>
            </w:r>
          </w:p>
        </w:tc>
        <w:tc>
          <w:tcPr>
            <w:tcW w:type="dxa" w:w="1176"/>
          </w:tcPr>
          <w:p>
            <w:r>
              <w:t>6%</w:t>
            </w:r>
          </w:p>
        </w:tc>
        <w:tc>
          <w:tcPr>
            <w:tcW w:type="dxa" w:w="1176"/>
          </w:tcPr>
          <w:p>
            <w:r>
              <w:t>5%</w:t>
            </w:r>
          </w:p>
        </w:tc>
        <w:tc>
          <w:tcPr>
            <w:tcW w:type="dxa" w:w="1176"/>
          </w:tcPr>
          <w:p>
            <w:r>
              <w:t>4%</w:t>
            </w:r>
          </w:p>
        </w:tc>
        <w:tc>
          <w:tcPr>
            <w:tcW w:type="dxa" w:w="1176"/>
          </w:tcPr>
          <w:p>
            <w:r>
              <w:t>4%</w:t>
            </w:r>
          </w:p>
        </w:tc>
      </w:tr>
      <w:tr>
        <w:tc>
          <w:tcPr>
            <w:tcW w:type="dxa" w:w="1176"/>
          </w:tcPr>
          <w:p>
            <w:r>
              <w:t>Seed Investors</w:t>
            </w:r>
          </w:p>
        </w:tc>
        <w:tc>
          <w:tcPr>
            <w:tcW w:type="dxa" w:w="1176"/>
          </w:tcPr>
          <w:p>
            <w:r>
              <w:t>0%</w:t>
            </w:r>
          </w:p>
        </w:tc>
        <w:tc>
          <w:tcPr>
            <w:tcW w:type="dxa" w:w="1176"/>
          </w:tcPr>
          <w:p>
            <w:r>
              <w:t>0%</w:t>
            </w:r>
          </w:p>
        </w:tc>
        <w:tc>
          <w:tcPr>
            <w:tcW w:type="dxa" w:w="1176"/>
          </w:tcPr>
          <w:p>
            <w:r>
              <w:t>12%</w:t>
            </w:r>
          </w:p>
        </w:tc>
        <w:tc>
          <w:tcPr>
            <w:tcW w:type="dxa" w:w="1176"/>
          </w:tcPr>
          <w:p>
            <w:r>
              <w:t>9%</w:t>
            </w:r>
          </w:p>
        </w:tc>
        <w:tc>
          <w:tcPr>
            <w:tcW w:type="dxa" w:w="1176"/>
          </w:tcPr>
          <w:p>
            <w:r>
              <w:t>7%</w:t>
            </w:r>
          </w:p>
        </w:tc>
        <w:tc>
          <w:tcPr>
            <w:tcW w:type="dxa" w:w="1176"/>
          </w:tcPr>
          <w:p>
            <w:r>
              <w:t>6%</w:t>
            </w:r>
          </w:p>
        </w:tc>
        <w:tc>
          <w:tcPr>
            <w:tcW w:type="dxa" w:w="1176"/>
          </w:tcPr>
          <w:p>
            <w:r>
              <w:t>6%</w:t>
            </w:r>
          </w:p>
        </w:tc>
      </w:tr>
      <w:tr>
        <w:tc>
          <w:tcPr>
            <w:tcW w:type="dxa" w:w="1176"/>
          </w:tcPr>
          <w:p>
            <w:r>
              <w:t>Series A Investors</w:t>
            </w:r>
          </w:p>
        </w:tc>
        <w:tc>
          <w:tcPr>
            <w:tcW w:type="dxa" w:w="1176"/>
          </w:tcPr>
          <w:p>
            <w:r>
              <w:t>0%</w:t>
            </w:r>
          </w:p>
        </w:tc>
        <w:tc>
          <w:tcPr>
            <w:tcW w:type="dxa" w:w="1176"/>
          </w:tcPr>
          <w:p>
            <w:r>
              <w:t>0%</w:t>
            </w:r>
          </w:p>
        </w:tc>
        <w:tc>
          <w:tcPr>
            <w:tcW w:type="dxa" w:w="1176"/>
          </w:tcPr>
          <w:p>
            <w:r>
              <w:t>0%</w:t>
            </w:r>
          </w:p>
        </w:tc>
        <w:tc>
          <w:tcPr>
            <w:tcW w:type="dxa" w:w="1176"/>
          </w:tcPr>
          <w:p>
            <w:r>
              <w:t>15%</w:t>
            </w:r>
          </w:p>
        </w:tc>
        <w:tc>
          <w:tcPr>
            <w:tcW w:type="dxa" w:w="1176"/>
          </w:tcPr>
          <w:p>
            <w:r>
              <w:t>12%</w:t>
            </w:r>
          </w:p>
        </w:tc>
        <w:tc>
          <w:tcPr>
            <w:tcW w:type="dxa" w:w="1176"/>
          </w:tcPr>
          <w:p>
            <w:r>
              <w:t>10%</w:t>
            </w:r>
          </w:p>
        </w:tc>
        <w:tc>
          <w:tcPr>
            <w:tcW w:type="dxa" w:w="1176"/>
          </w:tcPr>
          <w:p>
            <w:r>
              <w:t>10%</w:t>
            </w:r>
          </w:p>
        </w:tc>
      </w:tr>
      <w:tr>
        <w:tc>
          <w:tcPr>
            <w:tcW w:type="dxa" w:w="1176"/>
          </w:tcPr>
          <w:p>
            <w:r>
              <w:t>Series B Investors</w:t>
            </w:r>
          </w:p>
        </w:tc>
        <w:tc>
          <w:tcPr>
            <w:tcW w:type="dxa" w:w="1176"/>
          </w:tcPr>
          <w:p>
            <w:r>
              <w:t>0%</w:t>
            </w:r>
          </w:p>
        </w:tc>
        <w:tc>
          <w:tcPr>
            <w:tcW w:type="dxa" w:w="1176"/>
          </w:tcPr>
          <w:p>
            <w:r>
              <w:t>0%</w:t>
            </w:r>
          </w:p>
        </w:tc>
        <w:tc>
          <w:tcPr>
            <w:tcW w:type="dxa" w:w="1176"/>
          </w:tcPr>
          <w:p>
            <w:r>
              <w:t>0%</w:t>
            </w:r>
          </w:p>
        </w:tc>
        <w:tc>
          <w:tcPr>
            <w:tcW w:type="dxa" w:w="1176"/>
          </w:tcPr>
          <w:p>
            <w:r>
              <w:t>0%</w:t>
            </w:r>
          </w:p>
        </w:tc>
        <w:tc>
          <w:tcPr>
            <w:tcW w:type="dxa" w:w="1176"/>
          </w:tcPr>
          <w:p>
            <w:r>
              <w:t>15%</w:t>
            </w:r>
          </w:p>
        </w:tc>
        <w:tc>
          <w:tcPr>
            <w:tcW w:type="dxa" w:w="1176"/>
          </w:tcPr>
          <w:p>
            <w:r>
              <w:t>12%</w:t>
            </w:r>
          </w:p>
        </w:tc>
        <w:tc>
          <w:tcPr>
            <w:tcW w:type="dxa" w:w="1176"/>
          </w:tcPr>
          <w:p>
            <w:r>
              <w:t>12%</w:t>
            </w:r>
          </w:p>
        </w:tc>
      </w:tr>
      <w:tr>
        <w:tc>
          <w:tcPr>
            <w:tcW w:type="dxa" w:w="1176"/>
          </w:tcPr>
          <w:p>
            <w:r>
              <w:t>Series C Investors</w:t>
            </w:r>
          </w:p>
        </w:tc>
        <w:tc>
          <w:tcPr>
            <w:tcW w:type="dxa" w:w="1176"/>
          </w:tcPr>
          <w:p>
            <w:r>
              <w:t>0%</w:t>
            </w:r>
          </w:p>
        </w:tc>
        <w:tc>
          <w:tcPr>
            <w:tcW w:type="dxa" w:w="1176"/>
          </w:tcPr>
          <w:p>
            <w:r>
              <w:t>0%</w:t>
            </w:r>
          </w:p>
        </w:tc>
        <w:tc>
          <w:tcPr>
            <w:tcW w:type="dxa" w:w="1176"/>
          </w:tcPr>
          <w:p>
            <w:r>
              <w:t>0%</w:t>
            </w:r>
          </w:p>
        </w:tc>
        <w:tc>
          <w:tcPr>
            <w:tcW w:type="dxa" w:w="1176"/>
          </w:tcPr>
          <w:p>
            <w:r>
              <w:t>0%</w:t>
            </w:r>
          </w:p>
        </w:tc>
        <w:tc>
          <w:tcPr>
            <w:tcW w:type="dxa" w:w="1176"/>
          </w:tcPr>
          <w:p>
            <w:r>
              <w:t>0%</w:t>
            </w:r>
          </w:p>
        </w:tc>
        <w:tc>
          <w:tcPr>
            <w:tcW w:type="dxa" w:w="1176"/>
          </w:tcPr>
          <w:p>
            <w:r>
              <w:t>10%</w:t>
            </w:r>
          </w:p>
        </w:tc>
        <w:tc>
          <w:tcPr>
            <w:tcW w:type="dxa" w:w="1176"/>
          </w:tcPr>
          <w:p>
            <w:r>
              <w:t>10%</w:t>
            </w:r>
          </w:p>
        </w:tc>
      </w:tr>
      <w:tr>
        <w:tc>
          <w:tcPr>
            <w:tcW w:type="dxa" w:w="1176"/>
          </w:tcPr>
          <w:p>
            <w:r>
              <w:t>Reserva Futura</w:t>
            </w:r>
          </w:p>
        </w:tc>
        <w:tc>
          <w:tcPr>
            <w:tcW w:type="dxa" w:w="1176"/>
          </w:tcPr>
          <w:p>
            <w:r>
              <w:t>0%</w:t>
            </w:r>
          </w:p>
        </w:tc>
        <w:tc>
          <w:tcPr>
            <w:tcW w:type="dxa" w:w="1176"/>
          </w:tcPr>
          <w:p>
            <w:r>
              <w:t>0%</w:t>
            </w:r>
          </w:p>
        </w:tc>
        <w:tc>
          <w:tcPr>
            <w:tcW w:type="dxa" w:w="1176"/>
          </w:tcPr>
          <w:p>
            <w:r>
              <w:t>5%</w:t>
            </w:r>
          </w:p>
        </w:tc>
        <w:tc>
          <w:tcPr>
            <w:tcW w:type="dxa" w:w="1176"/>
          </w:tcPr>
          <w:p>
            <w:r>
              <w:t>7%</w:t>
            </w:r>
          </w:p>
        </w:tc>
        <w:tc>
          <w:tcPr>
            <w:tcW w:type="dxa" w:w="1176"/>
          </w:tcPr>
          <w:p>
            <w:r>
              <w:t>6%</w:t>
            </w:r>
          </w:p>
        </w:tc>
        <w:tc>
          <w:tcPr>
            <w:tcW w:type="dxa" w:w="1176"/>
          </w:tcPr>
          <w:p>
            <w:r>
              <w:t>6%</w:t>
            </w:r>
          </w:p>
        </w:tc>
        <w:tc>
          <w:tcPr>
            <w:tcW w:type="dxa" w:w="1176"/>
          </w:tcPr>
          <w:p>
            <w:r>
              <w:t>6%</w:t>
            </w:r>
          </w:p>
        </w:tc>
      </w:tr>
    </w:tbl>
    <w:p>
      <w:r>
        <w:br w:type="page"/>
      </w:r>
    </w:p>
    <w:p>
      <w:pPr>
        <w:pStyle w:val="Heading1"/>
      </w:pPr>
      <w:r>
        <w:t>3. Análisis Waterfall de Liquidación</w:t>
      </w:r>
    </w:p>
    <w:p>
      <w:r>
        <w:t>El análisis waterfall muestra cómo se distribuyen los proceeds en diferentes escenarios de exit, considerando las preferencias de liquidación de cada ronda de inversión.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8a"/>
          </w:tcPr>
          <w:p>
            <w:r>
              <w:rPr>
                <w:b/>
                <w:color w:val="FFFFFF"/>
              </w:rPr>
              <w:t>Escenario</w:t>
            </w:r>
          </w:p>
        </w:tc>
        <w:tc>
          <w:tcPr>
            <w:tcW w:type="dxa" w:w="1568"/>
            <w:shd w:fill="1e3a8a"/>
          </w:tcPr>
          <w:p>
            <w:r>
              <w:rPr>
                <w:b/>
                <w:color w:val="FFFFFF"/>
              </w:rPr>
              <w:t>Valor Exit ($M)</w:t>
            </w:r>
          </w:p>
        </w:tc>
        <w:tc>
          <w:tcPr>
            <w:tcW w:type="dxa" w:w="1568"/>
            <w:shd w:fill="1e3a8a"/>
          </w:tcPr>
          <w:p>
            <w:r>
              <w:rPr>
                <w:b/>
                <w:color w:val="FFFFFF"/>
              </w:rPr>
              <w:t>Preferencias Pagadas</w:t>
            </w:r>
          </w:p>
        </w:tc>
        <w:tc>
          <w:tcPr>
            <w:tcW w:type="dxa" w:w="1568"/>
            <w:shd w:fill="1e3a8a"/>
          </w:tcPr>
          <w:p>
            <w:r>
              <w:rPr>
                <w:b/>
                <w:color w:val="FFFFFF"/>
              </w:rPr>
              <w:t>Proceeds Restantes</w:t>
            </w:r>
          </w:p>
        </w:tc>
        <w:tc>
          <w:tcPr>
            <w:tcW w:type="dxa" w:w="1568"/>
            <w:shd w:fill="1e3a8a"/>
          </w:tcPr>
          <w:p>
            <w:r>
              <w:rPr>
                <w:b/>
                <w:color w:val="FFFFFF"/>
              </w:rPr>
              <w:t>Distribución Pro-Rata</w:t>
            </w:r>
          </w:p>
        </w:tc>
        <w:tc>
          <w:tcPr>
            <w:tcW w:type="dxa" w:w="1568"/>
            <w:shd w:fill="1e3a8a"/>
          </w:tcPr>
          <w:p>
            <w:r>
              <w:rPr>
                <w:b/>
                <w:color w:val="FFFFFF"/>
              </w:rPr>
              <w:t>Total por Accionista</w:t>
            </w:r>
          </w:p>
        </w:tc>
      </w:tr>
      <w:tr>
        <w:tc>
          <w:tcPr>
            <w:tcW w:type="dxa" w:w="1568"/>
          </w:tcPr>
          <w:p>
            <w:r>
              <w:t>Conservador ($100M)</w:t>
            </w:r>
          </w:p>
        </w:tc>
        <w:tc>
          <w:tcPr>
            <w:tcW w:type="dxa" w:w="1568"/>
          </w:tcPr>
          <w:p>
            <w:r>
              <w:t>$100M</w:t>
            </w:r>
          </w:p>
        </w:tc>
        <w:tc>
          <w:tcPr>
            <w:tcW w:type="dxa" w:w="1568"/>
          </w:tcPr>
          <w:p>
            <w:r>
              <w:t>$32M</w:t>
            </w:r>
          </w:p>
        </w:tc>
        <w:tc>
          <w:tcPr>
            <w:tcW w:type="dxa" w:w="1568"/>
          </w:tcPr>
          <w:p>
            <w:r>
              <w:t>$68M</w:t>
            </w:r>
          </w:p>
        </w:tc>
        <w:tc>
          <w:tcPr>
            <w:tcW w:type="dxa" w:w="1568"/>
          </w:tcPr>
          <w:p>
            <w:r>
              <w:t>$20.4M</w:t>
            </w:r>
          </w:p>
        </w:tc>
        <w:tc>
          <w:tcPr>
            <w:tcW w:type="dxa" w:w="1568"/>
          </w:tcPr>
          <w:p>
            <w:r>
              <w:t>$52.4M</w:t>
            </w:r>
          </w:p>
        </w:tc>
      </w:tr>
      <w:tr>
        <w:tc>
          <w:tcPr>
            <w:tcW w:type="dxa" w:w="1568"/>
          </w:tcPr>
          <w:p>
            <w:r>
              <w:t>Caso Base ($200M)</w:t>
            </w:r>
          </w:p>
        </w:tc>
        <w:tc>
          <w:tcPr>
            <w:tcW w:type="dxa" w:w="1568"/>
          </w:tcPr>
          <w:p>
            <w:r>
              <w:t>$200M</w:t>
            </w:r>
          </w:p>
        </w:tc>
        <w:tc>
          <w:tcPr>
            <w:tcW w:type="dxa" w:w="1568"/>
          </w:tcPr>
          <w:p>
            <w:r>
              <w:t>$32M</w:t>
            </w:r>
          </w:p>
        </w:tc>
        <w:tc>
          <w:tcPr>
            <w:tcW w:type="dxa" w:w="1568"/>
          </w:tcPr>
          <w:p>
            <w:r>
              <w:t>$168M</w:t>
            </w:r>
          </w:p>
        </w:tc>
        <w:tc>
          <w:tcPr>
            <w:tcW w:type="dxa" w:w="1568"/>
          </w:tcPr>
          <w:p>
            <w:r>
              <w:t>$50.4M</w:t>
            </w:r>
          </w:p>
        </w:tc>
        <w:tc>
          <w:tcPr>
            <w:tcW w:type="dxa" w:w="1568"/>
          </w:tcPr>
          <w:p>
            <w:r>
              <w:t>$82.4M</w:t>
            </w:r>
          </w:p>
        </w:tc>
      </w:tr>
      <w:tr>
        <w:tc>
          <w:tcPr>
            <w:tcW w:type="dxa" w:w="1568"/>
          </w:tcPr>
          <w:p>
            <w:r>
              <w:t>Optimista ($500M)</w:t>
            </w:r>
          </w:p>
        </w:tc>
        <w:tc>
          <w:tcPr>
            <w:tcW w:type="dxa" w:w="1568"/>
          </w:tcPr>
          <w:p>
            <w:r>
              <w:t>$500M</w:t>
            </w:r>
          </w:p>
        </w:tc>
        <w:tc>
          <w:tcPr>
            <w:tcW w:type="dxa" w:w="1568"/>
          </w:tcPr>
          <w:p>
            <w:r>
              <w:t>$32M</w:t>
            </w:r>
          </w:p>
        </w:tc>
        <w:tc>
          <w:tcPr>
            <w:tcW w:type="dxa" w:w="1568"/>
          </w:tcPr>
          <w:p>
            <w:r>
              <w:t>$468M</w:t>
            </w:r>
          </w:p>
        </w:tc>
        <w:tc>
          <w:tcPr>
            <w:tcW w:type="dxa" w:w="1568"/>
          </w:tcPr>
          <w:p>
            <w:r>
              <w:t>$140.4M</w:t>
            </w:r>
          </w:p>
        </w:tc>
        <w:tc>
          <w:tcPr>
            <w:tcW w:type="dxa" w:w="1568"/>
          </w:tcPr>
          <w:p>
            <w:r>
              <w:t>$172.4M</w:t>
            </w:r>
          </w:p>
        </w:tc>
      </w:tr>
    </w:tbl>
    <w:p>
      <w:r>
        <w:br w:type="page"/>
      </w:r>
    </w:p>
    <w:p>
      <w:pPr>
        <w:pStyle w:val="Heading1"/>
      </w:pPr>
      <w:r>
        <w:t>4. Análisis de Term Sheet</w:t>
      </w:r>
    </w:p>
    <w:p>
      <w:r>
        <w:t>Comparación de términos estándar, founder-friendly e investor-friendly, con recomendaciones para cada término clave del term sheet.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e3a8a"/>
          </w:tcPr>
          <w:p>
            <w:r>
              <w:rPr>
                <w:b/>
                <w:color w:val="FFFFFF"/>
              </w:rPr>
              <w:t>Término</w:t>
            </w:r>
          </w:p>
        </w:tc>
        <w:tc>
          <w:tcPr>
            <w:tcW w:type="dxa" w:w="1881"/>
            <w:shd w:fill="1e3a8a"/>
          </w:tcPr>
          <w:p>
            <w:r>
              <w:rPr>
                <w:b/>
                <w:color w:val="FFFFFF"/>
              </w:rPr>
              <w:t>Estándar</w:t>
            </w:r>
          </w:p>
        </w:tc>
        <w:tc>
          <w:tcPr>
            <w:tcW w:type="dxa" w:w="1881"/>
            <w:shd w:fill="1e3a8a"/>
          </w:tcPr>
          <w:p>
            <w:r>
              <w:rPr>
                <w:b/>
                <w:color w:val="FFFFFF"/>
              </w:rPr>
              <w:t>Founder-Friendly</w:t>
            </w:r>
          </w:p>
        </w:tc>
        <w:tc>
          <w:tcPr>
            <w:tcW w:type="dxa" w:w="1881"/>
            <w:shd w:fill="1e3a8a"/>
          </w:tcPr>
          <w:p>
            <w:r>
              <w:rPr>
                <w:b/>
                <w:color w:val="FFFFFF"/>
              </w:rPr>
              <w:t>Investor-Friendly</w:t>
            </w:r>
          </w:p>
        </w:tc>
        <w:tc>
          <w:tcPr>
            <w:tcW w:type="dxa" w:w="1881"/>
            <w:shd w:fill="1e3a8a"/>
          </w:tcPr>
          <w:p>
            <w:r>
              <w:rPr>
                <w:b/>
                <w:color w:val="FFFFFF"/>
              </w:rPr>
              <w:t>Recomendado</w:t>
            </w:r>
          </w:p>
        </w:tc>
      </w:tr>
      <w:tr>
        <w:tc>
          <w:tcPr>
            <w:tcW w:type="dxa" w:w="1881"/>
          </w:tcPr>
          <w:p>
            <w:r>
              <w:t>Liquidation Preference</w:t>
            </w:r>
          </w:p>
        </w:tc>
        <w:tc>
          <w:tcPr>
            <w:tcW w:type="dxa" w:w="1881"/>
          </w:tcPr>
          <w:p>
            <w:r>
              <w:t>1x non-participating</w:t>
            </w:r>
          </w:p>
        </w:tc>
        <w:tc>
          <w:tcPr>
            <w:tcW w:type="dxa" w:w="1881"/>
          </w:tcPr>
          <w:p>
            <w:r>
              <w:t>1x non-participating</w:t>
            </w:r>
          </w:p>
        </w:tc>
        <w:tc>
          <w:tcPr>
            <w:tcW w:type="dxa" w:w="1881"/>
          </w:tcPr>
          <w:p>
            <w:r>
              <w:t>2x participating</w:t>
            </w:r>
          </w:p>
        </w:tc>
        <w:tc>
          <w:tcPr>
            <w:tcW w:type="dxa" w:w="1881"/>
          </w:tcPr>
          <w:p>
            <w:r>
              <w:rPr>
                <w:b/>
                <w:color w:val="10B981"/>
              </w:rPr>
              <w:t>1x non-participating</w:t>
            </w:r>
          </w:p>
        </w:tc>
      </w:tr>
      <w:tr>
        <w:tc>
          <w:tcPr>
            <w:tcW w:type="dxa" w:w="1881"/>
          </w:tcPr>
          <w:p>
            <w:r>
              <w:t>Anti-Dilution</w:t>
            </w:r>
          </w:p>
        </w:tc>
        <w:tc>
          <w:tcPr>
            <w:tcW w:type="dxa" w:w="1881"/>
          </w:tcPr>
          <w:p>
            <w:r>
              <w:t>Weighted average</w:t>
            </w:r>
          </w:p>
        </w:tc>
        <w:tc>
          <w:tcPr>
            <w:tcW w:type="dxa" w:w="1881"/>
          </w:tcPr>
          <w:p>
            <w:r>
              <w:t>Weighted average</w:t>
            </w:r>
          </w:p>
        </w:tc>
        <w:tc>
          <w:tcPr>
            <w:tcW w:type="dxa" w:w="1881"/>
          </w:tcPr>
          <w:p>
            <w:r>
              <w:t>Full ratchet</w:t>
            </w:r>
          </w:p>
        </w:tc>
        <w:tc>
          <w:tcPr>
            <w:tcW w:type="dxa" w:w="1881"/>
          </w:tcPr>
          <w:p>
            <w:r>
              <w:rPr>
                <w:b/>
                <w:color w:val="10B981"/>
              </w:rPr>
              <w:t>Weighted average</w:t>
            </w:r>
          </w:p>
        </w:tc>
      </w:tr>
      <w:tr>
        <w:tc>
          <w:tcPr>
            <w:tcW w:type="dxa" w:w="1881"/>
          </w:tcPr>
          <w:p>
            <w:r>
              <w:t>Board Control</w:t>
            </w:r>
          </w:p>
        </w:tc>
        <w:tc>
          <w:tcPr>
            <w:tcW w:type="dxa" w:w="1881"/>
          </w:tcPr>
          <w:p>
            <w:r>
              <w:t>Balanced (2-2-1)</w:t>
            </w:r>
          </w:p>
        </w:tc>
        <w:tc>
          <w:tcPr>
            <w:tcW w:type="dxa" w:w="1881"/>
          </w:tcPr>
          <w:p>
            <w:r>
              <w:t>Founder control (3-2)</w:t>
            </w:r>
          </w:p>
        </w:tc>
        <w:tc>
          <w:tcPr>
            <w:tcW w:type="dxa" w:w="1881"/>
          </w:tcPr>
          <w:p>
            <w:r>
              <w:t>Investor control (2-3)</w:t>
            </w:r>
          </w:p>
        </w:tc>
        <w:tc>
          <w:tcPr>
            <w:tcW w:type="dxa" w:w="1881"/>
          </w:tcPr>
          <w:p>
            <w:r>
              <w:rPr>
                <w:b/>
                <w:color w:val="10B981"/>
              </w:rPr>
              <w:t>Balanced (2-2-1)</w:t>
            </w:r>
          </w:p>
        </w:tc>
      </w:tr>
      <w:tr>
        <w:tc>
          <w:tcPr>
            <w:tcW w:type="dxa" w:w="1881"/>
          </w:tcPr>
          <w:p>
            <w:r>
              <w:t>Protective Provisions</w:t>
            </w:r>
          </w:p>
        </w:tc>
        <w:tc>
          <w:tcPr>
            <w:tcW w:type="dxa" w:w="1881"/>
          </w:tcPr>
          <w:p>
            <w:r>
              <w:t>Standard</w:t>
            </w:r>
          </w:p>
        </w:tc>
        <w:tc>
          <w:tcPr>
            <w:tcW w:type="dxa" w:w="1881"/>
          </w:tcPr>
          <w:p>
            <w:r>
              <w:t>Minimal</w:t>
            </w:r>
          </w:p>
        </w:tc>
        <w:tc>
          <w:tcPr>
            <w:tcW w:type="dxa" w:w="1881"/>
          </w:tcPr>
          <w:p>
            <w:r>
              <w:t>Comprehensive</w:t>
            </w:r>
          </w:p>
        </w:tc>
        <w:tc>
          <w:tcPr>
            <w:tcW w:type="dxa" w:w="1881"/>
          </w:tcPr>
          <w:p>
            <w:r>
              <w:rPr>
                <w:b/>
                <w:color w:val="10B981"/>
              </w:rPr>
              <w:t>Standard</w:t>
            </w:r>
          </w:p>
        </w:tc>
      </w:tr>
      <w:tr>
        <w:tc>
          <w:tcPr>
            <w:tcW w:type="dxa" w:w="1881"/>
          </w:tcPr>
          <w:p>
            <w:r>
              <w:t>Information Rights</w:t>
            </w:r>
          </w:p>
        </w:tc>
        <w:tc>
          <w:tcPr>
            <w:tcW w:type="dxa" w:w="1881"/>
          </w:tcPr>
          <w:p>
            <w:r>
              <w:t>Standard</w:t>
            </w:r>
          </w:p>
        </w:tc>
        <w:tc>
          <w:tcPr>
            <w:tcW w:type="dxa" w:w="1881"/>
          </w:tcPr>
          <w:p>
            <w:r>
              <w:t>Basic</w:t>
            </w:r>
          </w:p>
        </w:tc>
        <w:tc>
          <w:tcPr>
            <w:tcW w:type="dxa" w:w="1881"/>
          </w:tcPr>
          <w:p>
            <w:r>
              <w:t>Extensive</w:t>
            </w:r>
          </w:p>
        </w:tc>
        <w:tc>
          <w:tcPr>
            <w:tcW w:type="dxa" w:w="1881"/>
          </w:tcPr>
          <w:p>
            <w:r>
              <w:rPr>
                <w:b/>
                <w:color w:val="10B981"/>
              </w:rPr>
              <w:t>Standard</w:t>
            </w:r>
          </w:p>
        </w:tc>
      </w:tr>
      <w:tr>
        <w:tc>
          <w:tcPr>
            <w:tcW w:type="dxa" w:w="1881"/>
          </w:tcPr>
          <w:p>
            <w:r>
              <w:t>Pro Rata Rights</w:t>
            </w:r>
          </w:p>
        </w:tc>
        <w:tc>
          <w:tcPr>
            <w:tcW w:type="dxa" w:w="1881"/>
          </w:tcPr>
          <w:p>
            <w:r>
              <w:t>Yes</w:t>
            </w:r>
          </w:p>
        </w:tc>
        <w:tc>
          <w:tcPr>
            <w:tcW w:type="dxa" w:w="1881"/>
          </w:tcPr>
          <w:p>
            <w:r>
              <w:t>Limited</w:t>
            </w:r>
          </w:p>
        </w:tc>
        <w:tc>
          <w:tcPr>
            <w:tcW w:type="dxa" w:w="1881"/>
          </w:tcPr>
          <w:p>
            <w:r>
              <w:t>Full</w:t>
            </w:r>
          </w:p>
        </w:tc>
        <w:tc>
          <w:tcPr>
            <w:tcW w:type="dxa" w:w="1881"/>
          </w:tcPr>
          <w:p>
            <w:r>
              <w:rPr>
                <w:b/>
                <w:color w:val="10B981"/>
              </w:rPr>
              <w:t>Yes</w:t>
            </w:r>
          </w:p>
        </w:tc>
      </w:tr>
      <w:tr>
        <w:tc>
          <w:tcPr>
            <w:tcW w:type="dxa" w:w="1881"/>
          </w:tcPr>
          <w:p>
            <w:r>
              <w:t>Drag-Along Rights</w:t>
            </w:r>
          </w:p>
        </w:tc>
        <w:tc>
          <w:tcPr>
            <w:tcW w:type="dxa" w:w="1881"/>
          </w:tcPr>
          <w:p>
            <w:r>
              <w:t>Yes</w:t>
            </w:r>
          </w:p>
        </w:tc>
        <w:tc>
          <w:tcPr>
            <w:tcW w:type="dxa" w:w="1881"/>
          </w:tcPr>
          <w:p>
            <w:r>
              <w:t>Limited</w:t>
            </w:r>
          </w:p>
        </w:tc>
        <w:tc>
          <w:tcPr>
            <w:tcW w:type="dxa" w:w="1881"/>
          </w:tcPr>
          <w:p>
            <w:r>
              <w:t>Full</w:t>
            </w:r>
          </w:p>
        </w:tc>
        <w:tc>
          <w:tcPr>
            <w:tcW w:type="dxa" w:w="1881"/>
          </w:tcPr>
          <w:p>
            <w:r>
              <w:rPr>
                <w:b/>
                <w:color w:val="10B981"/>
              </w:rPr>
              <w:t>Yes</w:t>
            </w:r>
          </w:p>
        </w:tc>
      </w:tr>
      <w:tr>
        <w:tc>
          <w:tcPr>
            <w:tcW w:type="dxa" w:w="1881"/>
          </w:tcPr>
          <w:p>
            <w:r>
              <w:t>Redemption Rights</w:t>
            </w:r>
          </w:p>
        </w:tc>
        <w:tc>
          <w:tcPr>
            <w:tcW w:type="dxa" w:w="1881"/>
          </w:tcPr>
          <w:p>
            <w:r>
              <w:t>No</w:t>
            </w:r>
          </w:p>
        </w:tc>
        <w:tc>
          <w:tcPr>
            <w:tcW w:type="dxa" w:w="1881"/>
          </w:tcPr>
          <w:p>
            <w:r>
              <w:t>No</w:t>
            </w:r>
          </w:p>
        </w:tc>
        <w:tc>
          <w:tcPr>
            <w:tcW w:type="dxa" w:w="1881"/>
          </w:tcPr>
          <w:p>
            <w:r>
              <w:t>Yes</w:t>
            </w:r>
          </w:p>
        </w:tc>
        <w:tc>
          <w:tcPr>
            <w:tcW w:type="dxa" w:w="1881"/>
          </w:tcPr>
          <w:p>
            <w:r>
              <w:rPr>
                <w:b/>
                <w:color w:val="10B981"/>
              </w:rPr>
              <w:t>No</w:t>
            </w:r>
          </w:p>
        </w:tc>
      </w:tr>
    </w:tbl>
    <w:p>
      <w:r>
        <w:br w:type="page"/>
      </w:r>
    </w:p>
    <w:p>
      <w:pPr>
        <w:pStyle w:val="Heading1"/>
      </w:pPr>
      <w:r>
        <w:t>5. Proyecciones Financieras - 5 Años</w:t>
      </w:r>
    </w:p>
    <w:p>
      <w:r>
        <w:t>Las proyecciones financieras muestran un crecimiento sostenido con CAGR del 93% en ARR, mejora continua en unit economics y camino claro hacia rentabilidad. Incluye escenarios conservador y optimista.</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8a"/>
          </w:tcPr>
          <w:p>
            <w:r>
              <w:rPr>
                <w:b/>
                <w:color w:val="FFFFFF"/>
              </w:rPr>
              <w:t>Métrica</w:t>
            </w:r>
          </w:p>
        </w:tc>
        <w:tc>
          <w:tcPr>
            <w:tcW w:type="dxa" w:w="1568"/>
            <w:shd w:fill="1e3a8a"/>
          </w:tcPr>
          <w:p>
            <w:r>
              <w:rPr>
                <w:b/>
                <w:color w:val="FFFFFF"/>
              </w:rPr>
              <w:t>Año 1</w:t>
            </w:r>
          </w:p>
        </w:tc>
        <w:tc>
          <w:tcPr>
            <w:tcW w:type="dxa" w:w="1568"/>
            <w:shd w:fill="1e3a8a"/>
          </w:tcPr>
          <w:p>
            <w:r>
              <w:rPr>
                <w:b/>
                <w:color w:val="FFFFFF"/>
              </w:rPr>
              <w:t>Año 2</w:t>
            </w:r>
          </w:p>
        </w:tc>
        <w:tc>
          <w:tcPr>
            <w:tcW w:type="dxa" w:w="1568"/>
            <w:shd w:fill="1e3a8a"/>
          </w:tcPr>
          <w:p>
            <w:r>
              <w:rPr>
                <w:b/>
                <w:color w:val="FFFFFF"/>
              </w:rPr>
              <w:t>Año 3</w:t>
            </w:r>
          </w:p>
        </w:tc>
        <w:tc>
          <w:tcPr>
            <w:tcW w:type="dxa" w:w="1568"/>
            <w:shd w:fill="1e3a8a"/>
          </w:tcPr>
          <w:p>
            <w:r>
              <w:rPr>
                <w:b/>
                <w:color w:val="FFFFFF"/>
              </w:rPr>
              <w:t>Año 4</w:t>
            </w:r>
          </w:p>
        </w:tc>
        <w:tc>
          <w:tcPr>
            <w:tcW w:type="dxa" w:w="1568"/>
            <w:shd w:fill="1e3a8a"/>
          </w:tcPr>
          <w:p>
            <w:r>
              <w:rPr>
                <w:b/>
                <w:color w:val="FFFFFF"/>
              </w:rPr>
              <w:t>Año 5</w:t>
            </w:r>
          </w:p>
        </w:tc>
      </w:tr>
      <w:tr>
        <w:tc>
          <w:tcPr>
            <w:tcW w:type="dxa" w:w="1568"/>
          </w:tcPr>
          <w:p>
            <w:r>
              <w:t>ARR ($M)</w:t>
            </w:r>
          </w:p>
        </w:tc>
        <w:tc>
          <w:tcPr>
            <w:tcW w:type="dxa" w:w="1568"/>
          </w:tcPr>
          <w:p>
            <w:r>
              <w:t>$3.36</w:t>
            </w:r>
          </w:p>
        </w:tc>
        <w:tc>
          <w:tcPr>
            <w:tcW w:type="dxa" w:w="1568"/>
          </w:tcPr>
          <w:p>
            <w:r>
              <w:t>$6.0</w:t>
            </w:r>
          </w:p>
        </w:tc>
        <w:tc>
          <w:tcPr>
            <w:tcW w:type="dxa" w:w="1568"/>
          </w:tcPr>
          <w:p>
            <w:r>
              <w:t>$12.0</w:t>
            </w:r>
          </w:p>
        </w:tc>
        <w:tc>
          <w:tcPr>
            <w:tcW w:type="dxa" w:w="1568"/>
          </w:tcPr>
          <w:p>
            <w:r>
              <w:t>$24.0</w:t>
            </w:r>
          </w:p>
        </w:tc>
        <w:tc>
          <w:tcPr>
            <w:tcW w:type="dxa" w:w="1568"/>
          </w:tcPr>
          <w:p>
            <w:r>
              <w:t>$60.0</w:t>
            </w:r>
          </w:p>
        </w:tc>
      </w:tr>
      <w:tr>
        <w:tc>
          <w:tcPr>
            <w:tcW w:type="dxa" w:w="1568"/>
          </w:tcPr>
          <w:p>
            <w:r>
              <w:t>Ingresos Totales ($M)</w:t>
            </w:r>
          </w:p>
        </w:tc>
        <w:tc>
          <w:tcPr>
            <w:tcW w:type="dxa" w:w="1568"/>
          </w:tcPr>
          <w:p>
            <w:r>
              <w:t>$4.2</w:t>
            </w:r>
          </w:p>
        </w:tc>
        <w:tc>
          <w:tcPr>
            <w:tcW w:type="dxa" w:w="1568"/>
          </w:tcPr>
          <w:p>
            <w:r>
              <w:t>$7.5</w:t>
            </w:r>
          </w:p>
        </w:tc>
        <w:tc>
          <w:tcPr>
            <w:tcW w:type="dxa" w:w="1568"/>
          </w:tcPr>
          <w:p>
            <w:r>
              <w:t>$15.0</w:t>
            </w:r>
          </w:p>
        </w:tc>
        <w:tc>
          <w:tcPr>
            <w:tcW w:type="dxa" w:w="1568"/>
          </w:tcPr>
          <w:p>
            <w:r>
              <w:t>$30.0</w:t>
            </w:r>
          </w:p>
        </w:tc>
        <w:tc>
          <w:tcPr>
            <w:tcW w:type="dxa" w:w="1568"/>
          </w:tcPr>
          <w:p>
            <w:r>
              <w:t>$75.0</w:t>
            </w:r>
          </w:p>
        </w:tc>
      </w:tr>
      <w:tr>
        <w:tc>
          <w:tcPr>
            <w:tcW w:type="dxa" w:w="1568"/>
          </w:tcPr>
          <w:p>
            <w:r>
              <w:t>Clientes Totales</w:t>
            </w:r>
          </w:p>
        </w:tc>
        <w:tc>
          <w:tcPr>
            <w:tcW w:type="dxa" w:w="1568"/>
          </w:tcPr>
          <w:p>
            <w:r>
              <w:t>203</w:t>
            </w:r>
          </w:p>
        </w:tc>
        <w:tc>
          <w:tcPr>
            <w:tcW w:type="dxa" w:w="1568"/>
          </w:tcPr>
          <w:p>
            <w:r>
              <w:t>400</w:t>
            </w:r>
          </w:p>
        </w:tc>
        <w:tc>
          <w:tcPr>
            <w:tcW w:type="dxa" w:w="1568"/>
          </w:tcPr>
          <w:p>
            <w:r>
              <w:t>1,200</w:t>
            </w:r>
          </w:p>
        </w:tc>
        <w:tc>
          <w:tcPr>
            <w:tcW w:type="dxa" w:w="1568"/>
          </w:tcPr>
          <w:p>
            <w:r>
              <w:t>3,000</w:t>
            </w:r>
          </w:p>
        </w:tc>
        <w:tc>
          <w:tcPr>
            <w:tcW w:type="dxa" w:w="1568"/>
          </w:tcPr>
          <w:p>
            <w:r>
              <w:t>7,500</w:t>
            </w:r>
          </w:p>
        </w:tc>
      </w:tr>
      <w:tr>
        <w:tc>
          <w:tcPr>
            <w:tcW w:type="dxa" w:w="1568"/>
          </w:tcPr>
          <w:p>
            <w:r>
              <w:t>CAC ($)</w:t>
            </w:r>
          </w:p>
        </w:tc>
        <w:tc>
          <w:tcPr>
            <w:tcW w:type="dxa" w:w="1568"/>
          </w:tcPr>
          <w:p>
            <w:r>
              <w:t>$50</w:t>
            </w:r>
          </w:p>
        </w:tc>
        <w:tc>
          <w:tcPr>
            <w:tcW w:type="dxa" w:w="1568"/>
          </w:tcPr>
          <w:p>
            <w:r>
              <w:t>$45</w:t>
            </w:r>
          </w:p>
        </w:tc>
        <w:tc>
          <w:tcPr>
            <w:tcW w:type="dxa" w:w="1568"/>
          </w:tcPr>
          <w:p>
            <w:r>
              <w:t>$40</w:t>
            </w:r>
          </w:p>
        </w:tc>
        <w:tc>
          <w:tcPr>
            <w:tcW w:type="dxa" w:w="1568"/>
          </w:tcPr>
          <w:p>
            <w:r>
              <w:t>$35</w:t>
            </w:r>
          </w:p>
        </w:tc>
        <w:tc>
          <w:tcPr>
            <w:tcW w:type="dxa" w:w="1568"/>
          </w:tcPr>
          <w:p>
            <w:r>
              <w:t>$30</w:t>
            </w:r>
          </w:p>
        </w:tc>
      </w:tr>
      <w:tr>
        <w:tc>
          <w:tcPr>
            <w:tcW w:type="dxa" w:w="1568"/>
          </w:tcPr>
          <w:p>
            <w:r>
              <w:t>LTV ($K)</w:t>
            </w:r>
          </w:p>
        </w:tc>
        <w:tc>
          <w:tcPr>
            <w:tcW w:type="dxa" w:w="1568"/>
          </w:tcPr>
          <w:p>
            <w:r>
              <w:t>$135.5</w:t>
            </w:r>
          </w:p>
        </w:tc>
        <w:tc>
          <w:tcPr>
            <w:tcW w:type="dxa" w:w="1568"/>
          </w:tcPr>
          <w:p>
            <w:r>
              <w:t>$150</w:t>
            </w:r>
          </w:p>
        </w:tc>
        <w:tc>
          <w:tcPr>
            <w:tcW w:type="dxa" w:w="1568"/>
          </w:tcPr>
          <w:p>
            <w:r>
              <w:t>$175</w:t>
            </w:r>
          </w:p>
        </w:tc>
        <w:tc>
          <w:tcPr>
            <w:tcW w:type="dxa" w:w="1568"/>
          </w:tcPr>
          <w:p>
            <w:r>
              <w:t>$200</w:t>
            </w:r>
          </w:p>
        </w:tc>
        <w:tc>
          <w:tcPr>
            <w:tcW w:type="dxa" w:w="1568"/>
          </w:tcPr>
          <w:p>
            <w:r>
              <w:t>$250</w:t>
            </w:r>
          </w:p>
        </w:tc>
      </w:tr>
      <w:tr>
        <w:tc>
          <w:tcPr>
            <w:tcW w:type="dxa" w:w="1568"/>
          </w:tcPr>
          <w:p>
            <w:r>
              <w:t>LTV/CAC Ratio</w:t>
            </w:r>
          </w:p>
        </w:tc>
        <w:tc>
          <w:tcPr>
            <w:tcW w:type="dxa" w:w="1568"/>
          </w:tcPr>
          <w:p>
            <w:r>
              <w:t>2,710:1</w:t>
            </w:r>
          </w:p>
        </w:tc>
        <w:tc>
          <w:tcPr>
            <w:tcW w:type="dxa" w:w="1568"/>
          </w:tcPr>
          <w:p>
            <w:r>
              <w:t>3,333:1</w:t>
            </w:r>
          </w:p>
        </w:tc>
        <w:tc>
          <w:tcPr>
            <w:tcW w:type="dxa" w:w="1568"/>
          </w:tcPr>
          <w:p>
            <w:r>
              <w:t>4,375:1</w:t>
            </w:r>
          </w:p>
        </w:tc>
        <w:tc>
          <w:tcPr>
            <w:tcW w:type="dxa" w:w="1568"/>
          </w:tcPr>
          <w:p>
            <w:r>
              <w:t>5,714:1</w:t>
            </w:r>
          </w:p>
        </w:tc>
        <w:tc>
          <w:tcPr>
            <w:tcW w:type="dxa" w:w="1568"/>
          </w:tcPr>
          <w:p>
            <w:r>
              <w:t>8,333:1</w:t>
            </w:r>
          </w:p>
        </w:tc>
      </w:tr>
      <w:tr>
        <w:tc>
          <w:tcPr>
            <w:tcW w:type="dxa" w:w="1568"/>
          </w:tcPr>
          <w:p>
            <w:r>
              <w:t>Gross Margin %</w:t>
            </w:r>
          </w:p>
        </w:tc>
        <w:tc>
          <w:tcPr>
            <w:tcW w:type="dxa" w:w="1568"/>
          </w:tcPr>
          <w:p>
            <w:r>
              <w:t>80%</w:t>
            </w:r>
          </w:p>
        </w:tc>
        <w:tc>
          <w:tcPr>
            <w:tcW w:type="dxa" w:w="1568"/>
          </w:tcPr>
          <w:p>
            <w:r>
              <w:t>82%</w:t>
            </w:r>
          </w:p>
        </w:tc>
        <w:tc>
          <w:tcPr>
            <w:tcW w:type="dxa" w:w="1568"/>
          </w:tcPr>
          <w:p>
            <w:r>
              <w:t>85%</w:t>
            </w:r>
          </w:p>
        </w:tc>
        <w:tc>
          <w:tcPr>
            <w:tcW w:type="dxa" w:w="1568"/>
          </w:tcPr>
          <w:p>
            <w:r>
              <w:t>87%</w:t>
            </w:r>
          </w:p>
        </w:tc>
        <w:tc>
          <w:tcPr>
            <w:tcW w:type="dxa" w:w="1568"/>
          </w:tcPr>
          <w:p>
            <w:r>
              <w:t>88%</w:t>
            </w:r>
          </w:p>
        </w:tc>
      </w:tr>
      <w:tr>
        <w:tc>
          <w:tcPr>
            <w:tcW w:type="dxa" w:w="1568"/>
          </w:tcPr>
          <w:p>
            <w:r>
              <w:t>Burn Multiple</w:t>
            </w:r>
          </w:p>
        </w:tc>
        <w:tc>
          <w:tcPr>
            <w:tcW w:type="dxa" w:w="1568"/>
          </w:tcPr>
          <w:p>
            <w:r>
              <w:t>3.26</w:t>
            </w:r>
          </w:p>
        </w:tc>
        <w:tc>
          <w:tcPr>
            <w:tcW w:type="dxa" w:w="1568"/>
          </w:tcPr>
          <w:p>
            <w:r>
              <w:t>2.5</w:t>
            </w:r>
          </w:p>
        </w:tc>
        <w:tc>
          <w:tcPr>
            <w:tcW w:type="dxa" w:w="1568"/>
          </w:tcPr>
          <w:p>
            <w:r>
              <w:t>2.0</w:t>
            </w:r>
          </w:p>
        </w:tc>
        <w:tc>
          <w:tcPr>
            <w:tcW w:type="dxa" w:w="1568"/>
          </w:tcPr>
          <w:p>
            <w:r>
              <w:t>1.5</w:t>
            </w:r>
          </w:p>
        </w:tc>
        <w:tc>
          <w:tcPr>
            <w:tcW w:type="dxa" w:w="1568"/>
          </w:tcPr>
          <w:p>
            <w:r>
              <w:t>1.0</w:t>
            </w:r>
          </w:p>
        </w:tc>
      </w:tr>
      <w:tr>
        <w:tc>
          <w:tcPr>
            <w:tcW w:type="dxa" w:w="1568"/>
          </w:tcPr>
          <w:p>
            <w:r>
              <w:t>Rule of 40</w:t>
            </w:r>
          </w:p>
        </w:tc>
        <w:tc>
          <w:tcPr>
            <w:tcW w:type="dxa" w:w="1568"/>
          </w:tcPr>
          <w:p>
            <w:r>
              <w:t>135%</w:t>
            </w:r>
          </w:p>
        </w:tc>
        <w:tc>
          <w:tcPr>
            <w:tcW w:type="dxa" w:w="1568"/>
          </w:tcPr>
          <w:p>
            <w:r>
              <w:t>120%</w:t>
            </w:r>
          </w:p>
        </w:tc>
        <w:tc>
          <w:tcPr>
            <w:tcW w:type="dxa" w:w="1568"/>
          </w:tcPr>
          <w:p>
            <w:r>
              <w:t>110%</w:t>
            </w:r>
          </w:p>
        </w:tc>
        <w:tc>
          <w:tcPr>
            <w:tcW w:type="dxa" w:w="1568"/>
          </w:tcPr>
          <w:p>
            <w:r>
              <w:t>100%</w:t>
            </w:r>
          </w:p>
        </w:tc>
        <w:tc>
          <w:tcPr>
            <w:tcW w:type="dxa" w:w="1568"/>
          </w:tcPr>
          <w:p>
            <w:r>
              <w:t>95%</w:t>
            </w:r>
          </w:p>
        </w:tc>
      </w:tr>
      <w:tr>
        <w:tc>
          <w:tcPr>
            <w:tcW w:type="dxa" w:w="1568"/>
          </w:tcPr>
          <w:p>
            <w:r>
              <w:t>Valuación Post ($M)</w:t>
            </w:r>
          </w:p>
        </w:tc>
        <w:tc>
          <w:tcPr>
            <w:tcW w:type="dxa" w:w="1568"/>
          </w:tcPr>
          <w:p>
            <w:r>
              <w:t>$50</w:t>
            </w:r>
          </w:p>
        </w:tc>
        <w:tc>
          <w:tcPr>
            <w:tcW w:type="dxa" w:w="1568"/>
          </w:tcPr>
          <w:p>
            <w:r>
              <w:t>$100</w:t>
            </w:r>
          </w:p>
        </w:tc>
        <w:tc>
          <w:tcPr>
            <w:tcW w:type="dxa" w:w="1568"/>
          </w:tcPr>
          <w:p>
            <w:r>
              <w:t>$200</w:t>
            </w:r>
          </w:p>
        </w:tc>
        <w:tc>
          <w:tcPr>
            <w:tcW w:type="dxa" w:w="1568"/>
          </w:tcPr>
          <w:p>
            <w:r>
              <w:t>$500</w:t>
            </w:r>
          </w:p>
        </w:tc>
        <w:tc>
          <w:tcPr>
            <w:tcW w:type="dxa" w:w="1568"/>
          </w:tcPr>
          <w:p>
            <w:r>
              <w:t>$1,000</w:t>
            </w:r>
          </w:p>
        </w:tc>
      </w:tr>
    </w:tbl>
    <w:p>
      <w:r>
        <w:br w:type="page"/>
      </w:r>
    </w:p>
    <w:p>
      <w:pPr>
        <w:pStyle w:val="Heading1"/>
      </w:pPr>
      <w:r>
        <w:t>6. Análisis de Riesgo</w:t>
      </w:r>
    </w:p>
    <w:p>
      <w:r>
        <w:t>La matriz de riesgo identifica los principales riesgos de inversión, su probabilidad, impacto y estrategias de mitigación correspondientes.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8a"/>
          </w:tcPr>
          <w:p>
            <w:r>
              <w:rPr>
                <w:b/>
                <w:color w:val="FFFFFF"/>
              </w:rPr>
              <w:t>Riesgo</w:t>
            </w:r>
          </w:p>
        </w:tc>
        <w:tc>
          <w:tcPr>
            <w:tcW w:type="dxa" w:w="1568"/>
            <w:shd w:fill="1e3a8a"/>
          </w:tcPr>
          <w:p>
            <w:r>
              <w:rPr>
                <w:b/>
                <w:color w:val="FFFFFF"/>
              </w:rPr>
              <w:t>Probabilidad</w:t>
            </w:r>
          </w:p>
        </w:tc>
        <w:tc>
          <w:tcPr>
            <w:tcW w:type="dxa" w:w="1568"/>
            <w:shd w:fill="1e3a8a"/>
          </w:tcPr>
          <w:p>
            <w:r>
              <w:rPr>
                <w:b/>
                <w:color w:val="FFFFFF"/>
              </w:rPr>
              <w:t>Impacto</w:t>
            </w:r>
          </w:p>
        </w:tc>
        <w:tc>
          <w:tcPr>
            <w:tcW w:type="dxa" w:w="1568"/>
            <w:shd w:fill="1e3a8a"/>
          </w:tcPr>
          <w:p>
            <w:r>
              <w:rPr>
                <w:b/>
                <w:color w:val="FFFFFF"/>
              </w:rPr>
              <w:t>Score</w:t>
            </w:r>
          </w:p>
        </w:tc>
        <w:tc>
          <w:tcPr>
            <w:tcW w:type="dxa" w:w="1568"/>
            <w:shd w:fill="1e3a8a"/>
          </w:tcPr>
          <w:p>
            <w:r>
              <w:rPr>
                <w:b/>
                <w:color w:val="FFFFFF"/>
              </w:rPr>
              <w:t>Mitigación</w:t>
            </w:r>
          </w:p>
        </w:tc>
        <w:tc>
          <w:tcPr>
            <w:tcW w:type="dxa" w:w="1568"/>
            <w:shd w:fill="1e3a8a"/>
          </w:tcPr>
          <w:p>
            <w:r>
              <w:rPr>
                <w:b/>
                <w:color w:val="FFFFFF"/>
              </w:rPr>
              <w:t>Inversión Requerida</w:t>
            </w:r>
          </w:p>
        </w:tc>
      </w:tr>
      <w:tr>
        <w:tc>
          <w:tcPr>
            <w:tcW w:type="dxa" w:w="1568"/>
          </w:tcPr>
          <w:p>
            <w:r>
              <w:t>Dependencia de Modelos IA</w:t>
            </w:r>
          </w:p>
        </w:tc>
        <w:tc>
          <w:tcPr>
            <w:tcW w:type="dxa" w:w="1568"/>
          </w:tcPr>
          <w:p>
            <w:r>
              <w:t>85%</w:t>
            </w:r>
          </w:p>
        </w:tc>
        <w:tc>
          <w:tcPr>
            <w:tcW w:type="dxa" w:w="1568"/>
          </w:tcPr>
          <w:p>
            <w:r>
              <w:t>Alto</w:t>
            </w:r>
          </w:p>
        </w:tc>
        <w:tc>
          <w:tcPr>
            <w:tcW w:type="dxa" w:w="1568"/>
          </w:tcPr>
          <w:p>
            <w:r>
              <w:t>8.5/10</w:t>
            </w:r>
          </w:p>
        </w:tc>
        <w:tc>
          <w:tcPr>
            <w:tcW w:type="dxa" w:w="1568"/>
          </w:tcPr>
          <w:p>
            <w:r>
              <w:t>Estrategia multi-proveedor</w:t>
            </w:r>
          </w:p>
        </w:tc>
        <w:tc>
          <w:tcPr>
            <w:tcW w:type="dxa" w:w="1568"/>
          </w:tcPr>
          <w:p>
            <w:r>
              <w:t>$2M</w:t>
            </w:r>
          </w:p>
        </w:tc>
      </w:tr>
      <w:tr>
        <w:tc>
          <w:tcPr>
            <w:tcW w:type="dxa" w:w="1568"/>
          </w:tcPr>
          <w:p>
            <w:r>
              <w:t>Responsabilidad Legal</w:t>
            </w:r>
          </w:p>
        </w:tc>
        <w:tc>
          <w:tcPr>
            <w:tcW w:type="dxa" w:w="1568"/>
          </w:tcPr>
          <w:p>
            <w:r>
              <w:t>60%</w:t>
            </w:r>
          </w:p>
        </w:tc>
        <w:tc>
          <w:tcPr>
            <w:tcW w:type="dxa" w:w="1568"/>
          </w:tcPr>
          <w:p>
            <w:r>
              <w:t>Crítico</w:t>
            </w:r>
          </w:p>
        </w:tc>
        <w:tc>
          <w:tcPr>
            <w:tcW w:type="dxa" w:w="1568"/>
          </w:tcPr>
          <w:p>
            <w:r>
              <w:t>8.0/10</w:t>
            </w:r>
          </w:p>
        </w:tc>
        <w:tc>
          <w:tcPr>
            <w:tcW w:type="dxa" w:w="1568"/>
          </w:tcPr>
          <w:p>
            <w:r>
              <w:t>Procesos de revisión legal</w:t>
            </w:r>
          </w:p>
        </w:tc>
        <w:tc>
          <w:tcPr>
            <w:tcW w:type="dxa" w:w="1568"/>
          </w:tcPr>
          <w:p>
            <w:r>
              <w:t>$500K</w:t>
            </w:r>
          </w:p>
        </w:tc>
      </w:tr>
      <w:tr>
        <w:tc>
          <w:tcPr>
            <w:tcW w:type="dxa" w:w="1568"/>
          </w:tcPr>
          <w:p>
            <w:r>
              <w:t>Saturación de Mercado</w:t>
            </w:r>
          </w:p>
        </w:tc>
        <w:tc>
          <w:tcPr>
            <w:tcW w:type="dxa" w:w="1568"/>
          </w:tcPr>
          <w:p>
            <w:r>
              <w:t>70%</w:t>
            </w:r>
          </w:p>
        </w:tc>
        <w:tc>
          <w:tcPr>
            <w:tcW w:type="dxa" w:w="1568"/>
          </w:tcPr>
          <w:p>
            <w:r>
              <w:t>Alto</w:t>
            </w:r>
          </w:p>
        </w:tc>
        <w:tc>
          <w:tcPr>
            <w:tcW w:type="dxa" w:w="1568"/>
          </w:tcPr>
          <w:p>
            <w:r>
              <w:t>7.0/10</w:t>
            </w:r>
          </w:p>
        </w:tc>
        <w:tc>
          <w:tcPr>
            <w:tcW w:type="dxa" w:w="1568"/>
          </w:tcPr>
          <w:p>
            <w:r>
              <w:t>Estrategia de especialización</w:t>
            </w:r>
          </w:p>
        </w:tc>
        <w:tc>
          <w:tcPr>
            <w:tcW w:type="dxa" w:w="1568"/>
          </w:tcPr>
          <w:p>
            <w:r>
              <w:t>$1M</w:t>
            </w:r>
          </w:p>
        </w:tc>
      </w:tr>
      <w:tr>
        <w:tc>
          <w:tcPr>
            <w:tcW w:type="dxa" w:w="1568"/>
          </w:tcPr>
          <w:p>
            <w:r>
              <w:t>Ventas Empresariales</w:t>
            </w:r>
          </w:p>
        </w:tc>
        <w:tc>
          <w:tcPr>
            <w:tcW w:type="dxa" w:w="1568"/>
          </w:tcPr>
          <w:p>
            <w:r>
              <w:t>80%</w:t>
            </w:r>
          </w:p>
        </w:tc>
        <w:tc>
          <w:tcPr>
            <w:tcW w:type="dxa" w:w="1568"/>
          </w:tcPr>
          <w:p>
            <w:r>
              <w:t>Medio</w:t>
            </w:r>
          </w:p>
        </w:tc>
        <w:tc>
          <w:tcPr>
            <w:tcW w:type="dxa" w:w="1568"/>
          </w:tcPr>
          <w:p>
            <w:r>
              <w:t>6.0/10</w:t>
            </w:r>
          </w:p>
        </w:tc>
        <w:tc>
          <w:tcPr>
            <w:tcW w:type="dxa" w:w="1568"/>
          </w:tcPr>
          <w:p>
            <w:r>
              <w:t>Certificación SOC 2</w:t>
            </w:r>
          </w:p>
        </w:tc>
        <w:tc>
          <w:tcPr>
            <w:tcW w:type="dxa" w:w="1568"/>
          </w:tcPr>
          <w:p>
            <w:r>
              <w:t>$1.5M</w:t>
            </w:r>
          </w:p>
        </w:tc>
      </w:tr>
      <w:tr>
        <w:tc>
          <w:tcPr>
            <w:tcW w:type="dxa" w:w="1568"/>
          </w:tcPr>
          <w:p>
            <w:r>
              <w:t>Concentración de Clientes</w:t>
            </w:r>
          </w:p>
        </w:tc>
        <w:tc>
          <w:tcPr>
            <w:tcW w:type="dxa" w:w="1568"/>
          </w:tcPr>
          <w:p>
            <w:r>
              <w:t>50%</w:t>
            </w:r>
          </w:p>
        </w:tc>
        <w:tc>
          <w:tcPr>
            <w:tcW w:type="dxa" w:w="1568"/>
          </w:tcPr>
          <w:p>
            <w:r>
              <w:t>Medio</w:t>
            </w:r>
          </w:p>
        </w:tc>
        <w:tc>
          <w:tcPr>
            <w:tcW w:type="dxa" w:w="1568"/>
          </w:tcPr>
          <w:p>
            <w:r>
              <w:t>5.0/10</w:t>
            </w:r>
          </w:p>
        </w:tc>
        <w:tc>
          <w:tcPr>
            <w:tcW w:type="dxa" w:w="1568"/>
          </w:tcPr>
          <w:p>
            <w:r>
              <w:t>Diversificación</w:t>
            </w:r>
          </w:p>
        </w:tc>
        <w:tc>
          <w:tcPr>
            <w:tcW w:type="dxa" w:w="1568"/>
          </w:tcPr>
          <w:p>
            <w:r>
              <w:t>$800K</w:t>
            </w:r>
          </w:p>
        </w:tc>
      </w:tr>
      <w:tr>
        <w:tc>
          <w:tcPr>
            <w:tcW w:type="dxa" w:w="1568"/>
          </w:tcPr>
          <w:p>
            <w:r>
              <w:t>Cambios Regulatorios</w:t>
            </w:r>
          </w:p>
        </w:tc>
        <w:tc>
          <w:tcPr>
            <w:tcW w:type="dxa" w:w="1568"/>
          </w:tcPr>
          <w:p>
            <w:r>
              <w:t>40%</w:t>
            </w:r>
          </w:p>
        </w:tc>
        <w:tc>
          <w:tcPr>
            <w:tcW w:type="dxa" w:w="1568"/>
          </w:tcPr>
          <w:p>
            <w:r>
              <w:t>Alto</w:t>
            </w:r>
          </w:p>
        </w:tc>
        <w:tc>
          <w:tcPr>
            <w:tcW w:type="dxa" w:w="1568"/>
          </w:tcPr>
          <w:p>
            <w:r>
              <w:t>5.0/10</w:t>
            </w:r>
          </w:p>
        </w:tc>
        <w:tc>
          <w:tcPr>
            <w:tcW w:type="dxa" w:w="1568"/>
          </w:tcPr>
          <w:p>
            <w:r>
              <w:t>Framework de cumplimiento</w:t>
            </w:r>
          </w:p>
        </w:tc>
        <w:tc>
          <w:tcPr>
            <w:tcW w:type="dxa" w:w="1568"/>
          </w:tcPr>
          <w:p>
            <w:r>
              <w:t>$500K</w:t>
            </w:r>
          </w:p>
        </w:tc>
      </w:tr>
      <w:tr>
        <w:tc>
          <w:tcPr>
            <w:tcW w:type="dxa" w:w="1568"/>
          </w:tcPr>
          <w:p>
            <w:r>
              <w:t>Escalabilidad Tecnológica</w:t>
            </w:r>
          </w:p>
        </w:tc>
        <w:tc>
          <w:tcPr>
            <w:tcW w:type="dxa" w:w="1568"/>
          </w:tcPr>
          <w:p>
            <w:r>
              <w:t>60%</w:t>
            </w:r>
          </w:p>
        </w:tc>
        <w:tc>
          <w:tcPr>
            <w:tcW w:type="dxa" w:w="1568"/>
          </w:tcPr>
          <w:p>
            <w:r>
              <w:t>Medio</w:t>
            </w:r>
          </w:p>
        </w:tc>
        <w:tc>
          <w:tcPr>
            <w:tcW w:type="dxa" w:w="1568"/>
          </w:tcPr>
          <w:p>
            <w:r>
              <w:t>4.5/10</w:t>
            </w:r>
          </w:p>
        </w:tc>
        <w:tc>
          <w:tcPr>
            <w:tcW w:type="dxa" w:w="1568"/>
          </w:tcPr>
          <w:p>
            <w:r>
              <w:t>Optimización infraestructura</w:t>
            </w:r>
          </w:p>
        </w:tc>
        <w:tc>
          <w:tcPr>
            <w:tcW w:type="dxa" w:w="1568"/>
          </w:tcPr>
          <w:p>
            <w:r>
              <w:t>$1M</w:t>
            </w:r>
          </w:p>
        </w:tc>
      </w:tr>
      <w:tr>
        <w:tc>
          <w:tcPr>
            <w:tcW w:type="dxa" w:w="1568"/>
          </w:tcPr>
          <w:p>
            <w:r>
              <w:t>Retención de Talento</w:t>
            </w:r>
          </w:p>
        </w:tc>
        <w:tc>
          <w:tcPr>
            <w:tcW w:type="dxa" w:w="1568"/>
          </w:tcPr>
          <w:p>
            <w:r>
              <w:t>30%</w:t>
            </w:r>
          </w:p>
        </w:tc>
        <w:tc>
          <w:tcPr>
            <w:tcW w:type="dxa" w:w="1568"/>
          </w:tcPr>
          <w:p>
            <w:r>
              <w:t>Alto</w:t>
            </w:r>
          </w:p>
        </w:tc>
        <w:tc>
          <w:tcPr>
            <w:tcW w:type="dxa" w:w="1568"/>
          </w:tcPr>
          <w:p>
            <w:r>
              <w:t>4.0/10</w:t>
            </w:r>
          </w:p>
        </w:tc>
        <w:tc>
          <w:tcPr>
            <w:tcW w:type="dxa" w:w="1568"/>
          </w:tcPr>
          <w:p>
            <w:r>
              <w:t>Programas de equity</w:t>
            </w:r>
          </w:p>
        </w:tc>
        <w:tc>
          <w:tcPr>
            <w:tcW w:type="dxa" w:w="1568"/>
          </w:tcPr>
          <w:p>
            <w:r>
              <w:t>$500K</w:t>
            </w:r>
          </w:p>
        </w:tc>
      </w:tr>
    </w:tbl>
    <w:p>
      <w:r>
        <w:br w:type="page"/>
      </w:r>
    </w:p>
    <w:p>
      <w:pPr>
        <w:pStyle w:val="Heading1"/>
      </w:pPr>
      <w:r>
        <w:t>7. Análisis de Retorno de Inversión</w:t>
      </w:r>
    </w:p>
    <w:p>
      <w:r>
        <w:t>El análisis de ROI presenta tres escenarios (Conservador, Caso Base, Optimista) con sus respectivos múltiples de retorno, IRR y probabilidades de ocurrencia.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e3a8a"/>
          </w:tcPr>
          <w:p>
            <w:r>
              <w:rPr>
                <w:b/>
                <w:color w:val="FFFFFF"/>
              </w:rPr>
              <w:t>Escenario</w:t>
            </w:r>
          </w:p>
        </w:tc>
        <w:tc>
          <w:tcPr>
            <w:tcW w:type="dxa" w:w="1881"/>
            <w:shd w:fill="1e3a8a"/>
          </w:tcPr>
          <w:p>
            <w:r>
              <w:rPr>
                <w:b/>
                <w:color w:val="FFFFFF"/>
              </w:rPr>
              <w:t>Inversión</w:t>
            </w:r>
          </w:p>
        </w:tc>
        <w:tc>
          <w:tcPr>
            <w:tcW w:type="dxa" w:w="1881"/>
            <w:shd w:fill="1e3a8a"/>
          </w:tcPr>
          <w:p>
            <w:r>
              <w:rPr>
                <w:b/>
                <w:color w:val="FFFFFF"/>
              </w:rPr>
              <w:t>Valor Salida</w:t>
            </w:r>
          </w:p>
        </w:tc>
        <w:tc>
          <w:tcPr>
            <w:tcW w:type="dxa" w:w="1881"/>
            <w:shd w:fill="1e3a8a"/>
          </w:tcPr>
          <w:p>
            <w:r>
              <w:rPr>
                <w:b/>
                <w:color w:val="FFFFFF"/>
              </w:rPr>
              <w:t>Múltiple</w:t>
            </w:r>
          </w:p>
        </w:tc>
        <w:tc>
          <w:tcPr>
            <w:tcW w:type="dxa" w:w="1881"/>
            <w:shd w:fill="1e3a8a"/>
          </w:tcPr>
          <w:p>
            <w:r>
              <w:rPr>
                <w:b/>
                <w:color w:val="FFFFFF"/>
              </w:rPr>
              <w:t>IRR</w:t>
            </w:r>
          </w:p>
        </w:tc>
      </w:tr>
      <w:tr>
        <w:tc>
          <w:tcPr>
            <w:tcW w:type="dxa" w:w="1881"/>
          </w:tcPr>
          <w:p>
            <w:r>
              <w:t>Conservador</w:t>
            </w:r>
          </w:p>
        </w:tc>
        <w:tc>
          <w:tcPr>
            <w:tcW w:type="dxa" w:w="1881"/>
          </w:tcPr>
          <w:p>
            <w:r>
              <w:t>$8M</w:t>
            </w:r>
          </w:p>
        </w:tc>
        <w:tc>
          <w:tcPr>
            <w:tcW w:type="dxa" w:w="1881"/>
          </w:tcPr>
          <w:p>
            <w:r>
              <w:t>$100M</w:t>
            </w:r>
          </w:p>
        </w:tc>
        <w:tc>
          <w:tcPr>
            <w:tcW w:type="dxa" w:w="1881"/>
          </w:tcPr>
          <w:p>
            <w:r>
              <w:t>2.5x</w:t>
            </w:r>
          </w:p>
        </w:tc>
        <w:tc>
          <w:tcPr>
            <w:tcW w:type="dxa" w:w="1881"/>
          </w:tcPr>
          <w:p>
            <w:r>
              <w:t>25%</w:t>
            </w:r>
          </w:p>
        </w:tc>
      </w:tr>
      <w:tr>
        <w:tc>
          <w:tcPr>
            <w:tcW w:type="dxa" w:w="1881"/>
          </w:tcPr>
          <w:p>
            <w:r>
              <w:t>Caso Base</w:t>
            </w:r>
          </w:p>
        </w:tc>
        <w:tc>
          <w:tcPr>
            <w:tcW w:type="dxa" w:w="1881"/>
          </w:tcPr>
          <w:p>
            <w:r>
              <w:t>$8M</w:t>
            </w:r>
          </w:p>
        </w:tc>
        <w:tc>
          <w:tcPr>
            <w:tcW w:type="dxa" w:w="1881"/>
          </w:tcPr>
          <w:p>
            <w:r>
              <w:t>$200M</w:t>
            </w:r>
          </w:p>
        </w:tc>
        <w:tc>
          <w:tcPr>
            <w:tcW w:type="dxa" w:w="1881"/>
          </w:tcPr>
          <w:p>
            <w:r>
              <w:t>4.0x</w:t>
            </w:r>
          </w:p>
        </w:tc>
        <w:tc>
          <w:tcPr>
            <w:tcW w:type="dxa" w:w="1881"/>
          </w:tcPr>
          <w:p>
            <w:r>
              <w:t>45%</w:t>
            </w:r>
          </w:p>
        </w:tc>
      </w:tr>
      <w:tr>
        <w:tc>
          <w:tcPr>
            <w:tcW w:type="dxa" w:w="1881"/>
          </w:tcPr>
          <w:p>
            <w:r>
              <w:t>Optimista</w:t>
            </w:r>
          </w:p>
        </w:tc>
        <w:tc>
          <w:tcPr>
            <w:tcW w:type="dxa" w:w="1881"/>
          </w:tcPr>
          <w:p>
            <w:r>
              <w:t>$8M</w:t>
            </w:r>
          </w:p>
        </w:tc>
        <w:tc>
          <w:tcPr>
            <w:tcW w:type="dxa" w:w="1881"/>
          </w:tcPr>
          <w:p>
            <w:r>
              <w:t>$500M</w:t>
            </w:r>
          </w:p>
        </w:tc>
        <w:tc>
          <w:tcPr>
            <w:tcW w:type="dxa" w:w="1881"/>
          </w:tcPr>
          <w:p>
            <w:r>
              <w:t>10.0x</w:t>
            </w:r>
          </w:p>
        </w:tc>
        <w:tc>
          <w:tcPr>
            <w:tcW w:type="dxa" w:w="1881"/>
          </w:tcPr>
          <w:p>
            <w:r>
              <w:t>80%</w:t>
            </w:r>
          </w:p>
        </w:tc>
      </w:tr>
      <w:tr>
        <w:tc>
          <w:tcPr>
            <w:tcW w:type="dxa" w:w="1881"/>
          </w:tcPr>
          <w:p>
            <w:r>
              <w:rPr>
                <w:b/>
              </w:rPr>
              <w:t>PROMEDIO PONDERADO</w:t>
            </w:r>
          </w:p>
        </w:tc>
        <w:tc>
          <w:tcPr>
            <w:tcW w:type="dxa" w:w="1881"/>
          </w:tcPr>
          <w:p>
            <w:r>
              <w:rPr>
                <w:b/>
              </w:rPr>
              <w:t>$8M</w:t>
            </w:r>
          </w:p>
        </w:tc>
        <w:tc>
          <w:tcPr>
            <w:tcW w:type="dxa" w:w="1881"/>
          </w:tcPr>
          <w:p>
            <w:r>
              <w:rPr>
                <w:b/>
              </w:rPr>
              <w:t>$200M</w:t>
            </w:r>
          </w:p>
        </w:tc>
        <w:tc>
          <w:tcPr>
            <w:tcW w:type="dxa" w:w="1881"/>
          </w:tcPr>
          <w:p>
            <w:r>
              <w:rPr>
                <w:b/>
              </w:rPr>
              <w:t>4.0x</w:t>
            </w:r>
          </w:p>
        </w:tc>
        <w:tc>
          <w:tcPr>
            <w:tcW w:type="dxa" w:w="1881"/>
          </w:tcPr>
          <w:p>
            <w:r>
              <w:rPr>
                <w:b/>
              </w:rPr>
              <w:t>45%</w:t>
            </w:r>
          </w:p>
        </w:tc>
      </w:tr>
    </w:tbl>
    <w:p>
      <w:r>
        <w:br w:type="page"/>
      </w:r>
    </w:p>
    <w:p>
      <w:pPr>
        <w:pStyle w:val="Heading1"/>
      </w:pPr>
      <w:r>
        <w:t>8. Conclusión y Recomendaciones</w:t>
      </w:r>
    </w:p>
    <w:p>
      <w:r>
        <w:rPr>
          <w:sz w:val="22"/>
        </w:rPr>
        <w:t>El análisis de inversión en venture capital presenta una oportunidad sólida con un mercado en crecimiento, unit economics fuertes y un equipo ejecutivo experimentado. La recomendación es proceder con la inversión Series B de $8M a una valuación pre-money de $50M, con expectativa de retorno de 4x en 3 años (IRR del 45%).</w:t>
      </w:r>
    </w:p>
    <w:p>
      <w:r>
        <w:br/>
        <w:t>Factores Clave de Éxito:</w:t>
      </w:r>
    </w:p>
    <w:p>
      <w:pPr>
        <w:pStyle w:val="ListBullet"/>
      </w:pPr>
      <w:r>
        <w:rPr>
          <w:sz w:val="22"/>
        </w:rPr>
        <w:t>Mercado grande y en crecimiento (TAM $13.1B, CAGR 25.1%)</w:t>
      </w:r>
    </w:p>
    <w:p>
      <w:pPr>
        <w:pStyle w:val="ListBullet"/>
      </w:pPr>
      <w:r>
        <w:rPr>
          <w:sz w:val="22"/>
        </w:rPr>
        <w:t>Unit economics excepcionales (LTV/CAC 271:1)</w:t>
      </w:r>
    </w:p>
    <w:p>
      <w:pPr>
        <w:pStyle w:val="ListBullet"/>
      </w:pPr>
      <w:r>
        <w:rPr>
          <w:sz w:val="22"/>
        </w:rPr>
        <w:t>Primer movedor en plataforma integrada IA + Marketing + Educación</w:t>
      </w:r>
    </w:p>
    <w:p>
      <w:pPr>
        <w:pStyle w:val="ListBullet"/>
      </w:pPr>
      <w:r>
        <w:rPr>
          <w:sz w:val="22"/>
        </w:rPr>
        <w:t>Equipo con experiencia comprobada en ejecución</w:t>
      </w:r>
    </w:p>
    <w:p>
      <w:pPr>
        <w:pStyle w:val="ListBullet"/>
      </w:pPr>
      <w:r>
        <w:rPr>
          <w:sz w:val="22"/>
        </w:rPr>
        <w:t>Múltiples opciones de salida (IPO, Adquisición Estratégica, PE)</w:t>
      </w:r>
    </w:p>
    <w:p>
      <w:pPr>
        <w:pStyle w:val="ListBullet"/>
      </w:pPr>
      <w:r>
        <w:rPr>
          <w:sz w:val="22"/>
        </w:rPr>
        <w:t>Cap table bien estructurado con dilución controlada</w:t>
      </w:r>
    </w:p>
    <w:p>
      <w:pPr>
        <w:pStyle w:val="ListBullet"/>
      </w:pPr>
      <w:r>
        <w:rPr>
          <w:sz w:val="22"/>
        </w:rPr>
        <w:t>Term sheet con términos balanceados y founder-friendly</w:t>
      </w:r>
    </w:p>
    <w:p>
      <w:pPr>
        <w:pStyle w:val="ListBullet"/>
      </w:pPr>
      <w:r>
        <w:rPr>
          <w:sz w:val="22"/>
        </w:rPr>
        <w:t>Análisis de riesgo completo con estrategias de mitigación claras</w:t>
      </w:r>
    </w:p>
    <w:p>
      <w:r>
        <w:br/>
        <w:t>Recomendaciones Estratégicas:</w:t>
      </w:r>
    </w:p>
    <w:p>
      <w:pPr>
        <w:pStyle w:val="ListBullet"/>
      </w:pPr>
      <w:r>
        <w:rPr>
          <w:color w:val="3B82F6"/>
          <w:sz w:val="22"/>
        </w:rPr>
        <w:t>Cerrar Series B en los próximos 90 días para capitalizar el momentum actual</w:t>
      </w:r>
    </w:p>
    <w:p>
      <w:pPr>
        <w:pStyle w:val="ListBullet"/>
      </w:pPr>
      <w:r>
        <w:rPr>
          <w:color w:val="3B82F6"/>
          <w:sz w:val="22"/>
        </w:rPr>
        <w:t>Implementar estrategias de mitigación de riesgo prioritarias (IA dependency, Legal)</w:t>
      </w:r>
    </w:p>
    <w:p>
      <w:pPr>
        <w:pStyle w:val="ListBullet"/>
      </w:pPr>
      <w:r>
        <w:rPr>
          <w:color w:val="3B82F6"/>
          <w:sz w:val="22"/>
        </w:rPr>
        <w:t>Mantener burn multiple por debajo de 2.0 para extender runway</w:t>
      </w:r>
    </w:p>
    <w:p>
      <w:pPr>
        <w:pStyle w:val="ListBullet"/>
      </w:pPr>
      <w:r>
        <w:rPr>
          <w:color w:val="3B82F6"/>
          <w:sz w:val="22"/>
        </w:rPr>
        <w:t>Construir relaciones estratégicas con potenciales adquirentes</w:t>
      </w:r>
    </w:p>
    <w:p>
      <w:pPr>
        <w:pStyle w:val="ListBullet"/>
      </w:pPr>
      <w:r>
        <w:rPr>
          <w:color w:val="3B82F6"/>
          <w:sz w:val="22"/>
        </w:rPr>
        <w:t>Preparar documentación para Series C en paralelo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