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sz w:val="64"/>
        </w:rPr>
        <w:t>VENTURE CAPITAL</w:t>
      </w:r>
    </w:p>
    <w:p>
      <w:pPr>
        <w:pStyle w:val="Heading1"/>
        <w:jc w:val="center"/>
      </w:pPr>
      <w:r>
        <w:rPr>
          <w:color w:val="6B7280"/>
          <w:sz w:val="36"/>
        </w:rPr>
        <w:t>Análisis Profesional de Inversión</w:t>
      </w:r>
    </w:p>
    <w:p>
      <w:pPr>
        <w:jc w:val="center"/>
      </w:pPr>
      <w:r>
        <w:rPr>
          <w:i/>
          <w:sz w:val="24"/>
        </w:rPr>
        <w:t>Documento Generado: 23 de November de 2025</w:t>
      </w:r>
    </w:p>
    <w:p>
      <w:r>
        <w:br w:type="page"/>
      </w:r>
    </w:p>
    <w:p>
      <w:pPr>
        <w:pStyle w:val="Heading1"/>
      </w:pPr>
      <w:r>
        <w:t>RESUMEN EJECUTIVO</w:t>
      </w:r>
    </w:p>
    <w:p>
      <w:r>
        <w:rPr>
          <w:sz w:val="22"/>
        </w:rPr>
        <w:t>Este documento presenta un análisis completo de inversión en venture capital para una startup de inteligencia artificial en el sector de marketing. El análisis incluye proyecciones financieras, análisis de riesgo, estructura de fondos y escenarios de retorno de inversión.</w:t>
      </w:r>
    </w:p>
    <w:p>
      <w:pPr>
        <w:pStyle w:val="Heading2"/>
      </w:pPr>
      <w:r>
        <w:t>Métricas Clave de Inversión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rPr>
              <w:t>Métrica</w:t>
            </w:r>
          </w:p>
        </w:tc>
        <w:tc>
          <w:tcPr>
            <w:tcW w:type="dxa" w:w="1560"/>
            <w:shd w:fill="1e3a8a"/>
          </w:tcPr>
          <w:p>
            <w:r>
              <w:rPr>
                <w:b/>
                <w:color w:val="FFFFFF"/>
              </w:rPr>
              <w:t>Valor Actual</w:t>
            </w:r>
          </w:p>
        </w:tc>
        <w:tc>
          <w:tcPr>
            <w:tcW w:type="dxa" w:w="1560"/>
            <w:shd w:fill="1e3a8a"/>
          </w:tcPr>
          <w:p>
            <w:r>
              <w:rPr>
                <w:b/>
                <w:color w:val="FFFFFF"/>
              </w:rPr>
              <w:t>Objetivo</w:t>
            </w:r>
          </w:p>
        </w:tc>
        <w:tc>
          <w:tcPr>
            <w:tcW w:type="dxa" w:w="1560"/>
            <w:shd w:fill="1e3a8a"/>
          </w:tcPr>
          <w:p>
            <w:r>
              <w:rPr>
                <w:b/>
                <w:color w:val="FFFFFF"/>
              </w:rPr>
              <w:t>Estado</w:t>
            </w:r>
          </w:p>
        </w:tc>
        <w:tc>
          <w:tcPr>
            <w:tcW w:type="dxa" w:w="1560"/>
            <w:shd w:fill="1e3a8a"/>
          </w:tcPr>
          <w:p>
            <w:r>
              <w:rPr>
                <w:b/>
                <w:color w:val="FFFFFF"/>
              </w:rPr>
              <w:t>Tendencia</w:t>
            </w:r>
          </w:p>
        </w:tc>
        <w:tc>
          <w:tcPr>
            <w:tcW w:type="dxa" w:w="1560"/>
            <w:shd w:fill="1e3a8a"/>
          </w:tcPr>
          <w:p>
            <w:r>
              <w:rPr>
                <w:b/>
                <w:color w:val="FFFFFF"/>
              </w:rPr>
              <w:t>Notas</w:t>
            </w:r>
          </w:p>
        </w:tc>
      </w:tr>
      <w:tr>
        <w:tc>
          <w:tcPr>
            <w:tcW w:type="dxa" w:w="1560"/>
          </w:tcPr>
          <w:p>
            <w:r>
              <w:t>TAM (Total Addressable Market)</w:t>
            </w:r>
          </w:p>
        </w:tc>
        <w:tc>
          <w:tcPr>
            <w:tcW w:type="dxa" w:w="1560"/>
          </w:tcPr>
          <w:p>
            <w:r>
              <w:t>$13.1B</w:t>
            </w:r>
          </w:p>
        </w:tc>
        <w:tc>
          <w:tcPr>
            <w:tcW w:type="dxa" w:w="1560"/>
          </w:tcPr>
          <w:p>
            <w:r>
              <w:t>$15B+</w:t>
            </w:r>
          </w:p>
        </w:tc>
        <w:tc>
          <w:tcPr>
            <w:tcW w:type="dxa" w:w="1560"/>
          </w:tcPr>
          <w:p>
            <w:r>
              <w:t>✓</w:t>
            </w:r>
          </w:p>
        </w:tc>
        <w:tc>
          <w:tcPr>
            <w:tcW w:type="dxa" w:w="1560"/>
          </w:tcPr>
          <w:p>
            <w:r>
              <w:t>↑ Crecimiento</w:t>
            </w:r>
          </w:p>
        </w:tc>
        <w:tc>
          <w:tcPr>
            <w:tcW w:type="dxa" w:w="1560"/>
          </w:tcPr>
          <w:p>
            <w:r>
              <w:t>Mercado en expansión</w:t>
            </w:r>
          </w:p>
        </w:tc>
      </w:tr>
      <w:tr>
        <w:tc>
          <w:tcPr>
            <w:tcW w:type="dxa" w:w="1560"/>
          </w:tcPr>
          <w:p>
            <w:r>
              <w:t>SAM (Serviceable Addressable Market)</w:t>
            </w:r>
          </w:p>
        </w:tc>
        <w:tc>
          <w:tcPr>
            <w:tcW w:type="dxa" w:w="1560"/>
          </w:tcPr>
          <w:p>
            <w:r>
              <w:t>$2.52B</w:t>
            </w:r>
          </w:p>
        </w:tc>
        <w:tc>
          <w:tcPr>
            <w:tcW w:type="dxa" w:w="1560"/>
          </w:tcPr>
          <w:p>
            <w:r>
              <w:t>$3B+</w:t>
            </w:r>
          </w:p>
        </w:tc>
        <w:tc>
          <w:tcPr>
            <w:tcW w:type="dxa" w:w="1560"/>
          </w:tcPr>
          <w:p>
            <w:r>
              <w:t>✓</w:t>
            </w:r>
          </w:p>
        </w:tc>
        <w:tc>
          <w:tcPr>
            <w:tcW w:type="dxa" w:w="1560"/>
          </w:tcPr>
          <w:p>
            <w:r>
              <w:t>↑ Crecimiento</w:t>
            </w:r>
          </w:p>
        </w:tc>
        <w:tc>
          <w:tcPr>
            <w:tcW w:type="dxa" w:w="1560"/>
          </w:tcPr>
          <w:p>
            <w:r>
              <w:t>19% del TAM</w:t>
            </w:r>
          </w:p>
        </w:tc>
      </w:tr>
      <w:tr>
        <w:tc>
          <w:tcPr>
            <w:tcW w:type="dxa" w:w="1560"/>
          </w:tcPr>
          <w:p>
            <w:r>
              <w:t>SOM (Serviceable Obtainable Market)</w:t>
            </w:r>
          </w:p>
        </w:tc>
        <w:tc>
          <w:tcPr>
            <w:tcW w:type="dxa" w:w="1560"/>
          </w:tcPr>
          <w:p>
            <w:r>
              <w:t>$126M</w:t>
            </w:r>
          </w:p>
        </w:tc>
        <w:tc>
          <w:tcPr>
            <w:tcW w:type="dxa" w:w="1560"/>
          </w:tcPr>
          <w:p>
            <w:r>
              <w:t>$200M+</w:t>
            </w:r>
          </w:p>
        </w:tc>
        <w:tc>
          <w:tcPr>
            <w:tcW w:type="dxa" w:w="1560"/>
          </w:tcPr>
          <w:p>
            <w:r>
              <w:t>⚠</w:t>
            </w:r>
          </w:p>
        </w:tc>
        <w:tc>
          <w:tcPr>
            <w:tcW w:type="dxa" w:w="1560"/>
          </w:tcPr>
          <w:p>
            <w:r>
              <w:t>↑ Crecimiento</w:t>
            </w:r>
          </w:p>
        </w:tc>
        <w:tc>
          <w:tcPr>
            <w:tcW w:type="dxa" w:w="1560"/>
          </w:tcPr>
          <w:p>
            <w:r>
              <w:t>5% del SAM</w:t>
            </w:r>
          </w:p>
        </w:tc>
      </w:tr>
      <w:tr>
        <w:tc>
          <w:tcPr>
            <w:tcW w:type="dxa" w:w="1560"/>
          </w:tcPr>
          <w:p>
            <w:r>
              <w:t>CAGR del Mercado</w:t>
            </w:r>
          </w:p>
        </w:tc>
        <w:tc>
          <w:tcPr>
            <w:tcW w:type="dxa" w:w="1560"/>
          </w:tcPr>
          <w:p>
            <w:r>
              <w:t>25.1%</w:t>
            </w:r>
          </w:p>
        </w:tc>
        <w:tc>
          <w:tcPr>
            <w:tcW w:type="dxa" w:w="1560"/>
          </w:tcPr>
          <w:p>
            <w:r>
              <w:t>20%+</w:t>
            </w:r>
          </w:p>
        </w:tc>
        <w:tc>
          <w:tcPr>
            <w:tcW w:type="dxa" w:w="1560"/>
          </w:tcPr>
          <w:p>
            <w:r>
              <w:t>✓</w:t>
            </w:r>
          </w:p>
        </w:tc>
        <w:tc>
          <w:tcPr>
            <w:tcW w:type="dxa" w:w="1560"/>
          </w:tcPr>
          <w:p>
            <w:r>
              <w:t>↑ Excelente</w:t>
            </w:r>
          </w:p>
        </w:tc>
        <w:tc>
          <w:tcPr>
            <w:tcW w:type="dxa" w:w="1560"/>
          </w:tcPr>
          <w:p>
            <w:r>
              <w:t>Crecimiento acelerado</w:t>
            </w:r>
          </w:p>
        </w:tc>
      </w:tr>
      <w:tr>
        <w:tc>
          <w:tcPr>
            <w:tcW w:type="dxa" w:w="1560"/>
          </w:tcPr>
          <w:p>
            <w:r>
              <w:t>Valuación Actual</w:t>
            </w:r>
          </w:p>
        </w:tc>
        <w:tc>
          <w:tcPr>
            <w:tcW w:type="dxa" w:w="1560"/>
          </w:tcPr>
          <w:p>
            <w:r>
              <w:t>$50M</w:t>
            </w:r>
          </w:p>
        </w:tc>
        <w:tc>
          <w:tcPr>
            <w:tcW w:type="dxa" w:w="1560"/>
          </w:tcPr>
          <w:p>
            <w:r>
              <w:t>$100M+</w:t>
            </w:r>
          </w:p>
        </w:tc>
        <w:tc>
          <w:tcPr>
            <w:tcW w:type="dxa" w:w="1560"/>
          </w:tcPr>
          <w:p>
            <w:r>
              <w:t>⚠</w:t>
            </w:r>
          </w:p>
        </w:tc>
        <w:tc>
          <w:tcPr>
            <w:tcW w:type="dxa" w:w="1560"/>
          </w:tcPr>
          <w:p>
            <w:r>
              <w:t>↑ En aumento</w:t>
            </w:r>
          </w:p>
        </w:tc>
        <w:tc>
          <w:tcPr>
            <w:tcW w:type="dxa" w:w="1560"/>
          </w:tcPr>
          <w:p>
            <w:r>
              <w:t>Pre-Series B</w:t>
            </w:r>
          </w:p>
        </w:tc>
      </w:tr>
      <w:tr>
        <w:tc>
          <w:tcPr>
            <w:tcW w:type="dxa" w:w="1560"/>
          </w:tcPr>
          <w:p>
            <w:r>
              <w:t>ARR Actual</w:t>
            </w:r>
          </w:p>
        </w:tc>
        <w:tc>
          <w:tcPr>
            <w:tcW w:type="dxa" w:w="1560"/>
          </w:tcPr>
          <w:p>
            <w:r>
              <w:t>$3.36M</w:t>
            </w:r>
          </w:p>
        </w:tc>
        <w:tc>
          <w:tcPr>
            <w:tcW w:type="dxa" w:w="1560"/>
          </w:tcPr>
          <w:p>
            <w:r>
              <w:t>$10M+</w:t>
            </w:r>
          </w:p>
        </w:tc>
        <w:tc>
          <w:tcPr>
            <w:tcW w:type="dxa" w:w="1560"/>
          </w:tcPr>
          <w:p>
            <w:r>
              <w:t>⚠</w:t>
            </w:r>
          </w:p>
        </w:tc>
        <w:tc>
          <w:tcPr>
            <w:tcW w:type="dxa" w:w="1560"/>
          </w:tcPr>
          <w:p>
            <w:r>
              <w:t>↑ Crecimiento</w:t>
            </w:r>
          </w:p>
        </w:tc>
        <w:tc>
          <w:tcPr>
            <w:tcW w:type="dxa" w:w="1560"/>
          </w:tcPr>
          <w:p>
            <w:r>
              <w:t>93% CAGR proyectado</w:t>
            </w:r>
          </w:p>
        </w:tc>
      </w:tr>
      <w:tr>
        <w:tc>
          <w:tcPr>
            <w:tcW w:type="dxa" w:w="1560"/>
          </w:tcPr>
          <w:p>
            <w:r>
              <w:t>LTV/CAC Ratio</w:t>
            </w:r>
          </w:p>
        </w:tc>
        <w:tc>
          <w:tcPr>
            <w:tcW w:type="dxa" w:w="1560"/>
          </w:tcPr>
          <w:p>
            <w:r>
              <w:t>271:1</w:t>
            </w:r>
          </w:p>
        </w:tc>
        <w:tc>
          <w:tcPr>
            <w:tcW w:type="dxa" w:w="1560"/>
          </w:tcPr>
          <w:p>
            <w:r>
              <w:t>200:1+</w:t>
            </w:r>
          </w:p>
        </w:tc>
        <w:tc>
          <w:tcPr>
            <w:tcW w:type="dxa" w:w="1560"/>
          </w:tcPr>
          <w:p>
            <w:r>
              <w:t>✓</w:t>
            </w:r>
          </w:p>
        </w:tc>
        <w:tc>
          <w:tcPr>
            <w:tcW w:type="dxa" w:w="1560"/>
          </w:tcPr>
          <w:p>
            <w:r>
              <w:t>↑ Excelente</w:t>
            </w:r>
          </w:p>
        </w:tc>
        <w:tc>
          <w:tcPr>
            <w:tcW w:type="dxa" w:w="1560"/>
          </w:tcPr>
          <w:p>
            <w:r>
              <w:t>Unit economics fuertes</w:t>
            </w:r>
          </w:p>
        </w:tc>
      </w:tr>
      <w:tr>
        <w:tc>
          <w:tcPr>
            <w:tcW w:type="dxa" w:w="1560"/>
          </w:tcPr>
          <w:p>
            <w:r>
              <w:t>Gross Margin</w:t>
            </w:r>
          </w:p>
        </w:tc>
        <w:tc>
          <w:tcPr>
            <w:tcW w:type="dxa" w:w="1560"/>
          </w:tcPr>
          <w:p>
            <w:r>
              <w:t>80%</w:t>
            </w:r>
          </w:p>
        </w:tc>
        <w:tc>
          <w:tcPr>
            <w:tcW w:type="dxa" w:w="1560"/>
          </w:tcPr>
          <w:p>
            <w:r>
              <w:t>75%+</w:t>
            </w:r>
          </w:p>
        </w:tc>
        <w:tc>
          <w:tcPr>
            <w:tcW w:type="dxa" w:w="1560"/>
          </w:tcPr>
          <w:p>
            <w:r>
              <w:t>✓</w:t>
            </w:r>
          </w:p>
        </w:tc>
        <w:tc>
          <w:tcPr>
            <w:tcW w:type="dxa" w:w="1560"/>
          </w:tcPr>
          <w:p>
            <w:r>
              <w:t>↑ Estable</w:t>
            </w:r>
          </w:p>
        </w:tc>
        <w:tc>
          <w:tcPr>
            <w:tcW w:type="dxa" w:w="1560"/>
          </w:tcPr>
          <w:p>
            <w:r>
              <w:t>Margen saludable</w:t>
            </w:r>
          </w:p>
        </w:tc>
      </w:tr>
      <w:tr>
        <w:tc>
          <w:tcPr>
            <w:tcW w:type="dxa" w:w="1560"/>
          </w:tcPr>
          <w:p>
            <w:r>
              <w:t>Burn Multiple</w:t>
            </w:r>
          </w:p>
        </w:tc>
        <w:tc>
          <w:tcPr>
            <w:tcW w:type="dxa" w:w="1560"/>
          </w:tcPr>
          <w:p>
            <w:r>
              <w:t>3.26</w:t>
            </w:r>
          </w:p>
        </w:tc>
        <w:tc>
          <w:tcPr>
            <w:tcW w:type="dxa" w:w="1560"/>
          </w:tcPr>
          <w:p>
            <w:r>
              <w:t>&lt;2.0</w:t>
            </w:r>
          </w:p>
        </w:tc>
        <w:tc>
          <w:tcPr>
            <w:tcW w:type="dxa" w:w="1560"/>
          </w:tcPr>
          <w:p>
            <w:r>
              <w:t>⚠</w:t>
            </w:r>
          </w:p>
        </w:tc>
        <w:tc>
          <w:tcPr>
            <w:tcW w:type="dxa" w:w="1560"/>
          </w:tcPr>
          <w:p>
            <w:r>
              <w:t>↓ Mejorando</w:t>
            </w:r>
          </w:p>
        </w:tc>
        <w:tc>
          <w:tcPr>
            <w:tcW w:type="dxa" w:w="1560"/>
          </w:tcPr>
          <w:p>
            <w:r>
              <w:t>Optimización en curso</w:t>
            </w:r>
          </w:p>
        </w:tc>
      </w:tr>
      <w:tr>
        <w:tc>
          <w:tcPr>
            <w:tcW w:type="dxa" w:w="1560"/>
          </w:tcPr>
          <w:p>
            <w:r>
              <w:t>Rule of 40</w:t>
            </w:r>
          </w:p>
        </w:tc>
        <w:tc>
          <w:tcPr>
            <w:tcW w:type="dxa" w:w="1560"/>
          </w:tcPr>
          <w:p>
            <w:r>
              <w:t>135%</w:t>
            </w:r>
          </w:p>
        </w:tc>
        <w:tc>
          <w:tcPr>
            <w:tcW w:type="dxa" w:w="1560"/>
          </w:tcPr>
          <w:p>
            <w:r>
              <w:t>40%+</w:t>
            </w:r>
          </w:p>
        </w:tc>
        <w:tc>
          <w:tcPr>
            <w:tcW w:type="dxa" w:w="1560"/>
          </w:tcPr>
          <w:p>
            <w:r>
              <w:t>✓</w:t>
            </w:r>
          </w:p>
        </w:tc>
        <w:tc>
          <w:tcPr>
            <w:tcW w:type="dxa" w:w="1560"/>
          </w:tcPr>
          <w:p>
            <w:r>
              <w:t>↑ Excelente</w:t>
            </w:r>
          </w:p>
        </w:tc>
        <w:tc>
          <w:tcPr>
            <w:tcW w:type="dxa" w:w="1560"/>
          </w:tcPr>
          <w:p>
            <w:r>
              <w:t>Crecimiento + Rentabilidad</w:t>
            </w:r>
          </w:p>
        </w:tc>
      </w:tr>
    </w:tbl>
    <w:p>
      <w:r>
        <w:br w:type="page"/>
      </w:r>
    </w:p>
    <w:p>
      <w:pPr>
        <w:pStyle w:val="Heading1"/>
      </w:pPr>
      <w:r>
        <w:t>Rondas de Financiamiento</w:t>
      </w:r>
    </w:p>
    <w:p>
      <w:r>
        <w:t>El roadmap de financiamiento se estructura en seis etapas principales desde Pre-Seed hasta IPO, cada una con objetivos específicos, montos de inversión y hitos clave.</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Pr>
          <w:p>
            <w:r>
              <w:rPr>
                <w:b/>
                <w:color w:val="FFFFFF"/>
              </w:rPr>
              <w:t>Ronda</w:t>
            </w:r>
          </w:p>
        </w:tc>
        <w:tc>
          <w:tcPr>
            <w:tcW w:type="dxa" w:w="1170"/>
            <w:shd w:fill="1e3a8a"/>
          </w:tcPr>
          <w:p>
            <w:r>
              <w:rPr>
                <w:b/>
                <w:color w:val="FFFFFF"/>
              </w:rPr>
              <w:t>Monto</w:t>
            </w:r>
          </w:p>
        </w:tc>
        <w:tc>
          <w:tcPr>
            <w:tcW w:type="dxa" w:w="1170"/>
            <w:shd w:fill="1e3a8a"/>
          </w:tcPr>
          <w:p>
            <w:r>
              <w:rPr>
                <w:b/>
                <w:color w:val="FFFFFF"/>
              </w:rPr>
              <w:t>Valuación Pre</w:t>
            </w:r>
          </w:p>
        </w:tc>
        <w:tc>
          <w:tcPr>
            <w:tcW w:type="dxa" w:w="1170"/>
            <w:shd w:fill="1e3a8a"/>
          </w:tcPr>
          <w:p>
            <w:r>
              <w:rPr>
                <w:b/>
                <w:color w:val="FFFFFF"/>
              </w:rPr>
              <w:t>Valuación Post</w:t>
            </w:r>
          </w:p>
        </w:tc>
        <w:tc>
          <w:tcPr>
            <w:tcW w:type="dxa" w:w="1170"/>
            <w:shd w:fill="1e3a8a"/>
          </w:tcPr>
          <w:p>
            <w:r>
              <w:rPr>
                <w:b/>
                <w:color w:val="FFFFFF"/>
              </w:rPr>
              <w:t>Dilución</w:t>
            </w:r>
          </w:p>
        </w:tc>
        <w:tc>
          <w:tcPr>
            <w:tcW w:type="dxa" w:w="1170"/>
            <w:shd w:fill="1e3a8a"/>
          </w:tcPr>
          <w:p>
            <w:r>
              <w:rPr>
                <w:b/>
                <w:color w:val="FFFFFF"/>
              </w:rPr>
              <w:t>Timeline</w:t>
            </w:r>
          </w:p>
        </w:tc>
        <w:tc>
          <w:tcPr>
            <w:tcW w:type="dxa" w:w="1170"/>
            <w:shd w:fill="1e3a8a"/>
          </w:tcPr>
          <w:p>
            <w:r>
              <w:rPr>
                <w:b/>
                <w:color w:val="FFFFFF"/>
              </w:rPr>
              <w:t>Uso de Fondos</w:t>
            </w:r>
          </w:p>
        </w:tc>
        <w:tc>
          <w:tcPr>
            <w:tcW w:type="dxa" w:w="1170"/>
            <w:shd w:fill="1e3a8a"/>
          </w:tcPr>
          <w:p>
            <w:r>
              <w:rPr>
                <w:b/>
                <w:color w:val="FFFFFF"/>
              </w:rPr>
              <w:t>Hitos Clave</w:t>
            </w:r>
          </w:p>
        </w:tc>
      </w:tr>
      <w:tr>
        <w:tc>
          <w:tcPr>
            <w:tcW w:type="dxa" w:w="1170"/>
          </w:tcPr>
          <w:p>
            <w:r>
              <w:t>Pre-Seed</w:t>
            </w:r>
          </w:p>
        </w:tc>
        <w:tc>
          <w:tcPr>
            <w:tcW w:type="dxa" w:w="1170"/>
          </w:tcPr>
          <w:p>
            <w:r>
              <w:t>$200K-$500K</w:t>
            </w:r>
          </w:p>
        </w:tc>
        <w:tc>
          <w:tcPr>
            <w:tcW w:type="dxa" w:w="1170"/>
          </w:tcPr>
          <w:p>
            <w:r>
              <w:t>$1M-$5M</w:t>
            </w:r>
          </w:p>
        </w:tc>
        <w:tc>
          <w:tcPr>
            <w:tcW w:type="dxa" w:w="1170"/>
          </w:tcPr>
          <w:p>
            <w:r>
              <w:t>$1.2M-$5.5M</w:t>
            </w:r>
          </w:p>
        </w:tc>
        <w:tc>
          <w:tcPr>
            <w:tcW w:type="dxa" w:w="1170"/>
          </w:tcPr>
          <w:p>
            <w:r>
              <w:t>10-20%</w:t>
            </w:r>
          </w:p>
        </w:tc>
        <w:tc>
          <w:tcPr>
            <w:tcW w:type="dxa" w:w="1170"/>
          </w:tcPr>
          <w:p>
            <w:r>
              <w:t>Año 0-1</w:t>
            </w:r>
          </w:p>
        </w:tc>
        <w:tc>
          <w:tcPr>
            <w:tcW w:type="dxa" w:w="1170"/>
          </w:tcPr>
          <w:p>
            <w:r>
              <w:t>60% Producto, 20% Equipo, 20% Ops</w:t>
            </w:r>
          </w:p>
        </w:tc>
        <w:tc>
          <w:tcPr>
            <w:tcW w:type="dxa" w:w="1170"/>
          </w:tcPr>
          <w:p>
            <w:r>
              <w:t>MVP, Product-Market Fit</w:t>
            </w:r>
          </w:p>
        </w:tc>
      </w:tr>
      <w:tr>
        <w:tc>
          <w:tcPr>
            <w:tcW w:type="dxa" w:w="1170"/>
          </w:tcPr>
          <w:p>
            <w:r>
              <w:t>Seed</w:t>
            </w:r>
          </w:p>
        </w:tc>
        <w:tc>
          <w:tcPr>
            <w:tcW w:type="dxa" w:w="1170"/>
          </w:tcPr>
          <w:p>
            <w:r>
              <w:t>$500K-$2M</w:t>
            </w:r>
          </w:p>
        </w:tc>
        <w:tc>
          <w:tcPr>
            <w:tcW w:type="dxa" w:w="1170"/>
          </w:tcPr>
          <w:p>
            <w:r>
              <w:t>$5M-$15M</w:t>
            </w:r>
          </w:p>
        </w:tc>
        <w:tc>
          <w:tcPr>
            <w:tcW w:type="dxa" w:w="1170"/>
          </w:tcPr>
          <w:p>
            <w:r>
              <w:t>$5.5M-$17M</w:t>
            </w:r>
          </w:p>
        </w:tc>
        <w:tc>
          <w:tcPr>
            <w:tcW w:type="dxa" w:w="1170"/>
          </w:tcPr>
          <w:p>
            <w:r>
              <w:t>20-30%</w:t>
            </w:r>
          </w:p>
        </w:tc>
        <w:tc>
          <w:tcPr>
            <w:tcW w:type="dxa" w:w="1170"/>
          </w:tcPr>
          <w:p>
            <w:r>
              <w:t>Año 1-2</w:t>
            </w:r>
          </w:p>
        </w:tc>
        <w:tc>
          <w:tcPr>
            <w:tcW w:type="dxa" w:w="1170"/>
          </w:tcPr>
          <w:p>
            <w:r>
              <w:t>50% Producto, 30% Equipo, 20% Ops</w:t>
            </w:r>
          </w:p>
        </w:tc>
        <w:tc>
          <w:tcPr>
            <w:tcW w:type="dxa" w:w="1170"/>
          </w:tcPr>
          <w:p>
            <w:r>
              <w:t>$1M ARR, Tracción temprana</w:t>
            </w:r>
          </w:p>
        </w:tc>
      </w:tr>
      <w:tr>
        <w:tc>
          <w:tcPr>
            <w:tcW w:type="dxa" w:w="1170"/>
          </w:tcPr>
          <w:p>
            <w:r>
              <w:t>Series A</w:t>
            </w:r>
          </w:p>
        </w:tc>
        <w:tc>
          <w:tcPr>
            <w:tcW w:type="dxa" w:w="1170"/>
          </w:tcPr>
          <w:p>
            <w:r>
              <w:t>$2M-$10M</w:t>
            </w:r>
          </w:p>
        </w:tc>
        <w:tc>
          <w:tcPr>
            <w:tcW w:type="dxa" w:w="1170"/>
          </w:tcPr>
          <w:p>
            <w:r>
              <w:t>$15M-$50M</w:t>
            </w:r>
          </w:p>
        </w:tc>
        <w:tc>
          <w:tcPr>
            <w:tcW w:type="dxa" w:w="1170"/>
          </w:tcPr>
          <w:p>
            <w:r>
              <w:t>$17M-$60M</w:t>
            </w:r>
          </w:p>
        </w:tc>
        <w:tc>
          <w:tcPr>
            <w:tcW w:type="dxa" w:w="1170"/>
          </w:tcPr>
          <w:p>
            <w:r>
              <w:t>20-30%</w:t>
            </w:r>
          </w:p>
        </w:tc>
        <w:tc>
          <w:tcPr>
            <w:tcW w:type="dxa" w:w="1170"/>
          </w:tcPr>
          <w:p>
            <w:r>
              <w:t>Año 2-3</w:t>
            </w:r>
          </w:p>
        </w:tc>
        <w:tc>
          <w:tcPr>
            <w:tcW w:type="dxa" w:w="1170"/>
          </w:tcPr>
          <w:p>
            <w:r>
              <w:t>40% Growth, 40% Equipo, 20% Producto</w:t>
            </w:r>
          </w:p>
        </w:tc>
        <w:tc>
          <w:tcPr>
            <w:tcW w:type="dxa" w:w="1170"/>
          </w:tcPr>
          <w:p>
            <w:r>
              <w:t>$5M ARR, Product-Market Fit</w:t>
            </w:r>
          </w:p>
        </w:tc>
      </w:tr>
      <w:tr>
        <w:tc>
          <w:tcPr>
            <w:tcW w:type="dxa" w:w="1170"/>
          </w:tcPr>
          <w:p>
            <w:r>
              <w:t>Series B</w:t>
            </w:r>
          </w:p>
        </w:tc>
        <w:tc>
          <w:tcPr>
            <w:tcW w:type="dxa" w:w="1170"/>
          </w:tcPr>
          <w:p>
            <w:r>
              <w:t>$10M-$30M</w:t>
            </w:r>
          </w:p>
        </w:tc>
        <w:tc>
          <w:tcPr>
            <w:tcW w:type="dxa" w:w="1170"/>
          </w:tcPr>
          <w:p>
            <w:r>
              <w:t>$50M-$200M</w:t>
            </w:r>
          </w:p>
        </w:tc>
        <w:tc>
          <w:tcPr>
            <w:tcW w:type="dxa" w:w="1170"/>
          </w:tcPr>
          <w:p>
            <w:r>
              <w:t>$60M-$230M</w:t>
            </w:r>
          </w:p>
        </w:tc>
        <w:tc>
          <w:tcPr>
            <w:tcW w:type="dxa" w:w="1170"/>
          </w:tcPr>
          <w:p>
            <w:r>
              <w:t>15-25%</w:t>
            </w:r>
          </w:p>
        </w:tc>
        <w:tc>
          <w:tcPr>
            <w:tcW w:type="dxa" w:w="1170"/>
          </w:tcPr>
          <w:p>
            <w:r>
              <w:t>Año 3-4</w:t>
            </w:r>
          </w:p>
        </w:tc>
        <w:tc>
          <w:tcPr>
            <w:tcW w:type="dxa" w:w="1170"/>
          </w:tcPr>
          <w:p>
            <w:r>
              <w:t>50% Growth, 30% Equipo, 20% Ops</w:t>
            </w:r>
          </w:p>
        </w:tc>
        <w:tc>
          <w:tcPr>
            <w:tcW w:type="dxa" w:w="1170"/>
          </w:tcPr>
          <w:p>
            <w:r>
              <w:t>$25M ARR, Expansión mercado</w:t>
            </w:r>
          </w:p>
        </w:tc>
      </w:tr>
      <w:tr>
        <w:tc>
          <w:tcPr>
            <w:tcW w:type="dxa" w:w="1170"/>
          </w:tcPr>
          <w:p>
            <w:r>
              <w:t>Series C+</w:t>
            </w:r>
          </w:p>
        </w:tc>
        <w:tc>
          <w:tcPr>
            <w:tcW w:type="dxa" w:w="1170"/>
          </w:tcPr>
          <w:p>
            <w:r>
              <w:t>$30M-$100M+</w:t>
            </w:r>
          </w:p>
        </w:tc>
        <w:tc>
          <w:tcPr>
            <w:tcW w:type="dxa" w:w="1170"/>
          </w:tcPr>
          <w:p>
            <w:r>
              <w:t>$200M-$1B+</w:t>
            </w:r>
          </w:p>
        </w:tc>
        <w:tc>
          <w:tcPr>
            <w:tcW w:type="dxa" w:w="1170"/>
          </w:tcPr>
          <w:p>
            <w:r>
              <w:t>$230M-$1.1B+</w:t>
            </w:r>
          </w:p>
        </w:tc>
        <w:tc>
          <w:tcPr>
            <w:tcW w:type="dxa" w:w="1170"/>
          </w:tcPr>
          <w:p>
            <w:r>
              <w:t>15-25%</w:t>
            </w:r>
          </w:p>
        </w:tc>
        <w:tc>
          <w:tcPr>
            <w:tcW w:type="dxa" w:w="1170"/>
          </w:tcPr>
          <w:p>
            <w:r>
              <w:t>Año 4-5</w:t>
            </w:r>
          </w:p>
        </w:tc>
        <w:tc>
          <w:tcPr>
            <w:tcW w:type="dxa" w:w="1170"/>
          </w:tcPr>
          <w:p>
            <w:r>
              <w:t>60% Growth, 30% Equipo, 10% Ops</w:t>
            </w:r>
          </w:p>
        </w:tc>
        <w:tc>
          <w:tcPr>
            <w:tcW w:type="dxa" w:w="1170"/>
          </w:tcPr>
          <w:p>
            <w:r>
              <w:t>$100M ARR, Dominio mercado</w:t>
            </w:r>
          </w:p>
        </w:tc>
      </w:tr>
      <w:tr>
        <w:tc>
          <w:tcPr>
            <w:tcW w:type="dxa" w:w="1170"/>
          </w:tcPr>
          <w:p>
            <w:r>
              <w:t>IPO/Exit</w:t>
            </w:r>
          </w:p>
        </w:tc>
        <w:tc>
          <w:tcPr>
            <w:tcW w:type="dxa" w:w="1170"/>
          </w:tcPr>
          <w:p>
            <w:r>
              <w:t>$100M-$500M+</w:t>
            </w:r>
          </w:p>
        </w:tc>
        <w:tc>
          <w:tcPr>
            <w:tcW w:type="dxa" w:w="1170"/>
          </w:tcPr>
          <w:p>
            <w:r>
              <w:t>$1B-$10B+</w:t>
            </w:r>
          </w:p>
        </w:tc>
        <w:tc>
          <w:tcPr>
            <w:tcW w:type="dxa" w:w="1170"/>
          </w:tcPr>
          <w:p>
            <w:r>
              <w:t>$1.1B-$10.5B+</w:t>
            </w:r>
          </w:p>
        </w:tc>
        <w:tc>
          <w:tcPr>
            <w:tcW w:type="dxa" w:w="1170"/>
          </w:tcPr>
          <w:p>
            <w:r>
              <w:t>N/A</w:t>
            </w:r>
          </w:p>
        </w:tc>
        <w:tc>
          <w:tcPr>
            <w:tcW w:type="dxa" w:w="1170"/>
          </w:tcPr>
          <w:p>
            <w:r>
              <w:t>Año 5-7</w:t>
            </w:r>
          </w:p>
        </w:tc>
        <w:tc>
          <w:tcPr>
            <w:tcW w:type="dxa" w:w="1170"/>
          </w:tcPr>
          <w:p>
            <w:r>
              <w:t>Expansión global, Adquisiciones</w:t>
            </w:r>
          </w:p>
        </w:tc>
        <w:tc>
          <w:tcPr>
            <w:tcW w:type="dxa" w:w="1170"/>
          </w:tcPr>
          <w:p>
            <w:r>
              <w:t>$200M+ ARR, Unicornio</w:t>
            </w:r>
          </w:p>
        </w:tc>
      </w:tr>
    </w:tbl>
    <w:p>
      <w:r>
        <w:br w:type="page"/>
      </w:r>
    </w:p>
    <w:p>
      <w:pPr>
        <w:pStyle w:val="Heading1"/>
      </w:pPr>
      <w:r>
        <w:t>Proyecciones Financieras - 5 Años</w:t>
      </w:r>
    </w:p>
    <w:p>
      <w:r>
        <w:t>Las proyecciones financieras muestran un crecimiento sostenido con CAGR del 93% en ARR, mejora continua en unit economics y camino claro hacia rentabilidad.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rPr>
              <w:t>Métrica</w:t>
            </w:r>
          </w:p>
        </w:tc>
        <w:tc>
          <w:tcPr>
            <w:tcW w:type="dxa" w:w="1560"/>
            <w:shd w:fill="1e3a8a"/>
          </w:tcPr>
          <w:p>
            <w:r>
              <w:rPr>
                <w:b/>
                <w:color w:val="FFFFFF"/>
              </w:rPr>
              <w:t>Año 1</w:t>
            </w:r>
          </w:p>
        </w:tc>
        <w:tc>
          <w:tcPr>
            <w:tcW w:type="dxa" w:w="1560"/>
            <w:shd w:fill="1e3a8a"/>
          </w:tcPr>
          <w:p>
            <w:r>
              <w:rPr>
                <w:b/>
                <w:color w:val="FFFFFF"/>
              </w:rPr>
              <w:t>Año 2</w:t>
            </w:r>
          </w:p>
        </w:tc>
        <w:tc>
          <w:tcPr>
            <w:tcW w:type="dxa" w:w="1560"/>
            <w:shd w:fill="1e3a8a"/>
          </w:tcPr>
          <w:p>
            <w:r>
              <w:rPr>
                <w:b/>
                <w:color w:val="FFFFFF"/>
              </w:rPr>
              <w:t>Año 3</w:t>
            </w:r>
          </w:p>
        </w:tc>
        <w:tc>
          <w:tcPr>
            <w:tcW w:type="dxa" w:w="1560"/>
            <w:shd w:fill="1e3a8a"/>
          </w:tcPr>
          <w:p>
            <w:r>
              <w:rPr>
                <w:b/>
                <w:color w:val="FFFFFF"/>
              </w:rPr>
              <w:t>Año 4</w:t>
            </w:r>
          </w:p>
        </w:tc>
        <w:tc>
          <w:tcPr>
            <w:tcW w:type="dxa" w:w="1560"/>
            <w:shd w:fill="1e3a8a"/>
          </w:tcPr>
          <w:p>
            <w:r>
              <w:rPr>
                <w:b/>
                <w:color w:val="FFFFFF"/>
              </w:rPr>
              <w:t>Año 5</w:t>
            </w:r>
          </w:p>
        </w:tc>
      </w:tr>
      <w:tr>
        <w:tc>
          <w:tcPr>
            <w:tcW w:type="dxa" w:w="1560"/>
          </w:tcPr>
          <w:p>
            <w:r>
              <w:t>ARR ($)</w:t>
            </w:r>
          </w:p>
        </w:tc>
        <w:tc>
          <w:tcPr>
            <w:tcW w:type="dxa" w:w="1560"/>
          </w:tcPr>
          <w:p>
            <w:r>
              <w:t>$3.36M</w:t>
            </w:r>
          </w:p>
        </w:tc>
        <w:tc>
          <w:tcPr>
            <w:tcW w:type="dxa" w:w="1560"/>
          </w:tcPr>
          <w:p>
            <w:r>
              <w:t>$6.0M</w:t>
            </w:r>
          </w:p>
        </w:tc>
        <w:tc>
          <w:tcPr>
            <w:tcW w:type="dxa" w:w="1560"/>
          </w:tcPr>
          <w:p>
            <w:r>
              <w:t>$12.0M</w:t>
            </w:r>
          </w:p>
        </w:tc>
        <w:tc>
          <w:tcPr>
            <w:tcW w:type="dxa" w:w="1560"/>
          </w:tcPr>
          <w:p>
            <w:r>
              <w:t>$24.0M</w:t>
            </w:r>
          </w:p>
        </w:tc>
        <w:tc>
          <w:tcPr>
            <w:tcW w:type="dxa" w:w="1560"/>
          </w:tcPr>
          <w:p>
            <w:r>
              <w:t>$60.0M</w:t>
            </w:r>
          </w:p>
        </w:tc>
      </w:tr>
      <w:tr>
        <w:tc>
          <w:tcPr>
            <w:tcW w:type="dxa" w:w="1560"/>
          </w:tcPr>
          <w:p>
            <w:r>
              <w:t>Ingresos Totales ($)</w:t>
            </w:r>
          </w:p>
        </w:tc>
        <w:tc>
          <w:tcPr>
            <w:tcW w:type="dxa" w:w="1560"/>
          </w:tcPr>
          <w:p>
            <w:r>
              <w:t>$4.2M</w:t>
            </w:r>
          </w:p>
        </w:tc>
        <w:tc>
          <w:tcPr>
            <w:tcW w:type="dxa" w:w="1560"/>
          </w:tcPr>
          <w:p>
            <w:r>
              <w:t>$7.5M</w:t>
            </w:r>
          </w:p>
        </w:tc>
        <w:tc>
          <w:tcPr>
            <w:tcW w:type="dxa" w:w="1560"/>
          </w:tcPr>
          <w:p>
            <w:r>
              <w:t>$15.0M</w:t>
            </w:r>
          </w:p>
        </w:tc>
        <w:tc>
          <w:tcPr>
            <w:tcW w:type="dxa" w:w="1560"/>
          </w:tcPr>
          <w:p>
            <w:r>
              <w:t>$30.0M</w:t>
            </w:r>
          </w:p>
        </w:tc>
        <w:tc>
          <w:tcPr>
            <w:tcW w:type="dxa" w:w="1560"/>
          </w:tcPr>
          <w:p>
            <w:r>
              <w:t>$75.0M</w:t>
            </w:r>
          </w:p>
        </w:tc>
      </w:tr>
      <w:tr>
        <w:tc>
          <w:tcPr>
            <w:tcW w:type="dxa" w:w="1560"/>
          </w:tcPr>
          <w:p>
            <w:r>
              <w:t>Clientes Totales</w:t>
            </w:r>
          </w:p>
        </w:tc>
        <w:tc>
          <w:tcPr>
            <w:tcW w:type="dxa" w:w="1560"/>
          </w:tcPr>
          <w:p>
            <w:r>
              <w:t>203</w:t>
            </w:r>
          </w:p>
        </w:tc>
        <w:tc>
          <w:tcPr>
            <w:tcW w:type="dxa" w:w="1560"/>
          </w:tcPr>
          <w:p>
            <w:r>
              <w:t>400</w:t>
            </w:r>
          </w:p>
        </w:tc>
        <w:tc>
          <w:tcPr>
            <w:tcW w:type="dxa" w:w="1560"/>
          </w:tcPr>
          <w:p>
            <w:r>
              <w:t>1,200</w:t>
            </w:r>
          </w:p>
        </w:tc>
        <w:tc>
          <w:tcPr>
            <w:tcW w:type="dxa" w:w="1560"/>
          </w:tcPr>
          <w:p>
            <w:r>
              <w:t>3,000</w:t>
            </w:r>
          </w:p>
        </w:tc>
        <w:tc>
          <w:tcPr>
            <w:tcW w:type="dxa" w:w="1560"/>
          </w:tcPr>
          <w:p>
            <w:r>
              <w:t>7,500</w:t>
            </w:r>
          </w:p>
        </w:tc>
      </w:tr>
      <w:tr>
        <w:tc>
          <w:tcPr>
            <w:tcW w:type="dxa" w:w="1560"/>
          </w:tcPr>
          <w:p>
            <w:r>
              <w:t>CAC ($)</w:t>
            </w:r>
          </w:p>
        </w:tc>
        <w:tc>
          <w:tcPr>
            <w:tcW w:type="dxa" w:w="1560"/>
          </w:tcPr>
          <w:p>
            <w:r>
              <w:t>$50</w:t>
            </w:r>
          </w:p>
        </w:tc>
        <w:tc>
          <w:tcPr>
            <w:tcW w:type="dxa" w:w="1560"/>
          </w:tcPr>
          <w:p>
            <w:r>
              <w:t>$45</w:t>
            </w:r>
          </w:p>
        </w:tc>
        <w:tc>
          <w:tcPr>
            <w:tcW w:type="dxa" w:w="1560"/>
          </w:tcPr>
          <w:p>
            <w:r>
              <w:t>$40</w:t>
            </w:r>
          </w:p>
        </w:tc>
        <w:tc>
          <w:tcPr>
            <w:tcW w:type="dxa" w:w="1560"/>
          </w:tcPr>
          <w:p>
            <w:r>
              <w:t>$35</w:t>
            </w:r>
          </w:p>
        </w:tc>
        <w:tc>
          <w:tcPr>
            <w:tcW w:type="dxa" w:w="1560"/>
          </w:tcPr>
          <w:p>
            <w:r>
              <w:t>$30</w:t>
            </w:r>
          </w:p>
        </w:tc>
      </w:tr>
      <w:tr>
        <w:tc>
          <w:tcPr>
            <w:tcW w:type="dxa" w:w="1560"/>
          </w:tcPr>
          <w:p>
            <w:r>
              <w:t>LTV ($)</w:t>
            </w:r>
          </w:p>
        </w:tc>
        <w:tc>
          <w:tcPr>
            <w:tcW w:type="dxa" w:w="1560"/>
          </w:tcPr>
          <w:p>
            <w:r>
              <w:t>$135.5K</w:t>
            </w:r>
          </w:p>
        </w:tc>
        <w:tc>
          <w:tcPr>
            <w:tcW w:type="dxa" w:w="1560"/>
          </w:tcPr>
          <w:p>
            <w:r>
              <w:t>$150K</w:t>
            </w:r>
          </w:p>
        </w:tc>
        <w:tc>
          <w:tcPr>
            <w:tcW w:type="dxa" w:w="1560"/>
          </w:tcPr>
          <w:p>
            <w:r>
              <w:t>$175K</w:t>
            </w:r>
          </w:p>
        </w:tc>
        <w:tc>
          <w:tcPr>
            <w:tcW w:type="dxa" w:w="1560"/>
          </w:tcPr>
          <w:p>
            <w:r>
              <w:t>$200K</w:t>
            </w:r>
          </w:p>
        </w:tc>
        <w:tc>
          <w:tcPr>
            <w:tcW w:type="dxa" w:w="1560"/>
          </w:tcPr>
          <w:p>
            <w:r>
              <w:t>$250K</w:t>
            </w:r>
          </w:p>
        </w:tc>
      </w:tr>
      <w:tr>
        <w:tc>
          <w:tcPr>
            <w:tcW w:type="dxa" w:w="1560"/>
          </w:tcPr>
          <w:p>
            <w:r>
              <w:t>LTV/CAC Ratio</w:t>
            </w:r>
          </w:p>
        </w:tc>
        <w:tc>
          <w:tcPr>
            <w:tcW w:type="dxa" w:w="1560"/>
          </w:tcPr>
          <w:p>
            <w:r>
              <w:t>2,710:1</w:t>
            </w:r>
          </w:p>
        </w:tc>
        <w:tc>
          <w:tcPr>
            <w:tcW w:type="dxa" w:w="1560"/>
          </w:tcPr>
          <w:p>
            <w:r>
              <w:t>3,333:1</w:t>
            </w:r>
          </w:p>
        </w:tc>
        <w:tc>
          <w:tcPr>
            <w:tcW w:type="dxa" w:w="1560"/>
          </w:tcPr>
          <w:p>
            <w:r>
              <w:t>4,375:1</w:t>
            </w:r>
          </w:p>
        </w:tc>
        <w:tc>
          <w:tcPr>
            <w:tcW w:type="dxa" w:w="1560"/>
          </w:tcPr>
          <w:p>
            <w:r>
              <w:t>5,714:1</w:t>
            </w:r>
          </w:p>
        </w:tc>
        <w:tc>
          <w:tcPr>
            <w:tcW w:type="dxa" w:w="1560"/>
          </w:tcPr>
          <w:p>
            <w:r>
              <w:t>8,333:1</w:t>
            </w:r>
          </w:p>
        </w:tc>
      </w:tr>
      <w:tr>
        <w:tc>
          <w:tcPr>
            <w:tcW w:type="dxa" w:w="1560"/>
          </w:tcPr>
          <w:p>
            <w:r>
              <w:t>Gross Margin %</w:t>
            </w:r>
          </w:p>
        </w:tc>
        <w:tc>
          <w:tcPr>
            <w:tcW w:type="dxa" w:w="1560"/>
          </w:tcPr>
          <w:p>
            <w:r>
              <w:t>80%</w:t>
            </w:r>
          </w:p>
        </w:tc>
        <w:tc>
          <w:tcPr>
            <w:tcW w:type="dxa" w:w="1560"/>
          </w:tcPr>
          <w:p>
            <w:r>
              <w:t>82%</w:t>
            </w:r>
          </w:p>
        </w:tc>
        <w:tc>
          <w:tcPr>
            <w:tcW w:type="dxa" w:w="1560"/>
          </w:tcPr>
          <w:p>
            <w:r>
              <w:t>85%</w:t>
            </w:r>
          </w:p>
        </w:tc>
        <w:tc>
          <w:tcPr>
            <w:tcW w:type="dxa" w:w="1560"/>
          </w:tcPr>
          <w:p>
            <w:r>
              <w:t>87%</w:t>
            </w:r>
          </w:p>
        </w:tc>
        <w:tc>
          <w:tcPr>
            <w:tcW w:type="dxa" w:w="1560"/>
          </w:tcPr>
          <w:p>
            <w:r>
              <w:t>88%</w:t>
            </w:r>
          </w:p>
        </w:tc>
      </w:tr>
      <w:tr>
        <w:tc>
          <w:tcPr>
            <w:tcW w:type="dxa" w:w="1560"/>
          </w:tcPr>
          <w:p>
            <w:r>
              <w:t>Burn Multiple</w:t>
            </w:r>
          </w:p>
        </w:tc>
        <w:tc>
          <w:tcPr>
            <w:tcW w:type="dxa" w:w="1560"/>
          </w:tcPr>
          <w:p>
            <w:r>
              <w:t>3.26</w:t>
            </w:r>
          </w:p>
        </w:tc>
        <w:tc>
          <w:tcPr>
            <w:tcW w:type="dxa" w:w="1560"/>
          </w:tcPr>
          <w:p>
            <w:r>
              <w:t>2.5</w:t>
            </w:r>
          </w:p>
        </w:tc>
        <w:tc>
          <w:tcPr>
            <w:tcW w:type="dxa" w:w="1560"/>
          </w:tcPr>
          <w:p>
            <w:r>
              <w:t>2.0</w:t>
            </w:r>
          </w:p>
        </w:tc>
        <w:tc>
          <w:tcPr>
            <w:tcW w:type="dxa" w:w="1560"/>
          </w:tcPr>
          <w:p>
            <w:r>
              <w:t>1.5</w:t>
            </w:r>
          </w:p>
        </w:tc>
        <w:tc>
          <w:tcPr>
            <w:tcW w:type="dxa" w:w="1560"/>
          </w:tcPr>
          <w:p>
            <w:r>
              <w:t>1.0</w:t>
            </w:r>
          </w:p>
        </w:tc>
      </w:tr>
      <w:tr>
        <w:tc>
          <w:tcPr>
            <w:tcW w:type="dxa" w:w="1560"/>
          </w:tcPr>
          <w:p>
            <w:r>
              <w:t>Rule of 40</w:t>
            </w:r>
          </w:p>
        </w:tc>
        <w:tc>
          <w:tcPr>
            <w:tcW w:type="dxa" w:w="1560"/>
          </w:tcPr>
          <w:p>
            <w:r>
              <w:t>135%</w:t>
            </w:r>
          </w:p>
        </w:tc>
        <w:tc>
          <w:tcPr>
            <w:tcW w:type="dxa" w:w="1560"/>
          </w:tcPr>
          <w:p>
            <w:r>
              <w:t>120%</w:t>
            </w:r>
          </w:p>
        </w:tc>
        <w:tc>
          <w:tcPr>
            <w:tcW w:type="dxa" w:w="1560"/>
          </w:tcPr>
          <w:p>
            <w:r>
              <w:t>110%</w:t>
            </w:r>
          </w:p>
        </w:tc>
        <w:tc>
          <w:tcPr>
            <w:tcW w:type="dxa" w:w="1560"/>
          </w:tcPr>
          <w:p>
            <w:r>
              <w:t>100%</w:t>
            </w:r>
          </w:p>
        </w:tc>
        <w:tc>
          <w:tcPr>
            <w:tcW w:type="dxa" w:w="1560"/>
          </w:tcPr>
          <w:p>
            <w:r>
              <w:t>95%</w:t>
            </w:r>
          </w:p>
        </w:tc>
      </w:tr>
      <w:tr>
        <w:tc>
          <w:tcPr>
            <w:tcW w:type="dxa" w:w="1560"/>
          </w:tcPr>
          <w:p>
            <w:r>
              <w:t>Valuación Post ($)</w:t>
            </w:r>
          </w:p>
        </w:tc>
        <w:tc>
          <w:tcPr>
            <w:tcW w:type="dxa" w:w="1560"/>
          </w:tcPr>
          <w:p>
            <w:r>
              <w:t>$50M</w:t>
            </w:r>
          </w:p>
        </w:tc>
        <w:tc>
          <w:tcPr>
            <w:tcW w:type="dxa" w:w="1560"/>
          </w:tcPr>
          <w:p>
            <w:r>
              <w:t>$100M</w:t>
            </w:r>
          </w:p>
        </w:tc>
        <w:tc>
          <w:tcPr>
            <w:tcW w:type="dxa" w:w="1560"/>
          </w:tcPr>
          <w:p>
            <w:r>
              <w:t>$200M</w:t>
            </w:r>
          </w:p>
        </w:tc>
        <w:tc>
          <w:tcPr>
            <w:tcW w:type="dxa" w:w="1560"/>
          </w:tcPr>
          <w:p>
            <w:r>
              <w:t>$500M</w:t>
            </w:r>
          </w:p>
        </w:tc>
        <w:tc>
          <w:tcPr>
            <w:tcW w:type="dxa" w:w="1560"/>
          </w:tcPr>
          <w:p>
            <w:r>
              <w:t>$1B</w:t>
            </w:r>
          </w:p>
        </w:tc>
      </w:tr>
    </w:tbl>
    <w:p>
      <w:r>
        <w:br w:type="page"/>
      </w:r>
    </w:p>
    <w:p>
      <w:pPr>
        <w:pStyle w:val="Heading1"/>
      </w:pPr>
      <w:r>
        <w:t>Análisis de Riesgo</w:t>
      </w:r>
    </w:p>
    <w:p>
      <w:r>
        <w:t>La matriz de riesgo identifica los principales riesgos de inversión, su probabilidad, impacto y estrategias de mitigación correspondientes.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rPr>
              <w:t>Riesgo</w:t>
            </w:r>
          </w:p>
        </w:tc>
        <w:tc>
          <w:tcPr>
            <w:tcW w:type="dxa" w:w="1560"/>
            <w:shd w:fill="1e3a8a"/>
          </w:tcPr>
          <w:p>
            <w:r>
              <w:rPr>
                <w:b/>
                <w:color w:val="FFFFFF"/>
              </w:rPr>
              <w:t>Probabilidad</w:t>
            </w:r>
          </w:p>
        </w:tc>
        <w:tc>
          <w:tcPr>
            <w:tcW w:type="dxa" w:w="1560"/>
            <w:shd w:fill="1e3a8a"/>
          </w:tcPr>
          <w:p>
            <w:r>
              <w:rPr>
                <w:b/>
                <w:color w:val="FFFFFF"/>
              </w:rPr>
              <w:t>Impacto</w:t>
            </w:r>
          </w:p>
        </w:tc>
        <w:tc>
          <w:tcPr>
            <w:tcW w:type="dxa" w:w="1560"/>
            <w:shd w:fill="1e3a8a"/>
          </w:tcPr>
          <w:p>
            <w:r>
              <w:rPr>
                <w:b/>
                <w:color w:val="FFFFFF"/>
              </w:rPr>
              <w:t>Score</w:t>
            </w:r>
          </w:p>
        </w:tc>
        <w:tc>
          <w:tcPr>
            <w:tcW w:type="dxa" w:w="1560"/>
            <w:shd w:fill="1e3a8a"/>
          </w:tcPr>
          <w:p>
            <w:r>
              <w:rPr>
                <w:b/>
                <w:color w:val="FFFFFF"/>
              </w:rPr>
              <w:t>Mitigación</w:t>
            </w:r>
          </w:p>
        </w:tc>
        <w:tc>
          <w:tcPr>
            <w:tcW w:type="dxa" w:w="1560"/>
            <w:shd w:fill="1e3a8a"/>
          </w:tcPr>
          <w:p>
            <w:r>
              <w:rPr>
                <w:b/>
                <w:color w:val="FFFFFF"/>
              </w:rPr>
              <w:t>Inversión Requerida</w:t>
            </w:r>
          </w:p>
        </w:tc>
      </w:tr>
      <w:tr>
        <w:tc>
          <w:tcPr>
            <w:tcW w:type="dxa" w:w="1560"/>
          </w:tcPr>
          <w:p>
            <w:r>
              <w:t>Dependencia de Modelos IA</w:t>
            </w:r>
          </w:p>
        </w:tc>
        <w:tc>
          <w:tcPr>
            <w:tcW w:type="dxa" w:w="1560"/>
          </w:tcPr>
          <w:p>
            <w:r>
              <w:t>85%</w:t>
            </w:r>
          </w:p>
        </w:tc>
        <w:tc>
          <w:tcPr>
            <w:tcW w:type="dxa" w:w="1560"/>
          </w:tcPr>
          <w:p>
            <w:r>
              <w:t>Alto</w:t>
            </w:r>
          </w:p>
        </w:tc>
        <w:tc>
          <w:tcPr>
            <w:tcW w:type="dxa" w:w="1560"/>
          </w:tcPr>
          <w:p>
            <w:r>
              <w:t>8.5/10</w:t>
            </w:r>
          </w:p>
        </w:tc>
        <w:tc>
          <w:tcPr>
            <w:tcW w:type="dxa" w:w="1560"/>
          </w:tcPr>
          <w:p>
            <w:r>
              <w:t>Estrategia multi-proveedor</w:t>
            </w:r>
          </w:p>
        </w:tc>
        <w:tc>
          <w:tcPr>
            <w:tcW w:type="dxa" w:w="1560"/>
          </w:tcPr>
          <w:p>
            <w:r>
              <w:t>$2M</w:t>
            </w:r>
          </w:p>
        </w:tc>
      </w:tr>
      <w:tr>
        <w:tc>
          <w:tcPr>
            <w:tcW w:type="dxa" w:w="1560"/>
          </w:tcPr>
          <w:p>
            <w:r>
              <w:t>Responsabilidad Legal</w:t>
            </w:r>
          </w:p>
        </w:tc>
        <w:tc>
          <w:tcPr>
            <w:tcW w:type="dxa" w:w="1560"/>
          </w:tcPr>
          <w:p>
            <w:r>
              <w:t>60%</w:t>
            </w:r>
          </w:p>
        </w:tc>
        <w:tc>
          <w:tcPr>
            <w:tcW w:type="dxa" w:w="1560"/>
          </w:tcPr>
          <w:p>
            <w:r>
              <w:t>Crítico</w:t>
            </w:r>
          </w:p>
        </w:tc>
        <w:tc>
          <w:tcPr>
            <w:tcW w:type="dxa" w:w="1560"/>
          </w:tcPr>
          <w:p>
            <w:r>
              <w:t>8.0/10</w:t>
            </w:r>
          </w:p>
        </w:tc>
        <w:tc>
          <w:tcPr>
            <w:tcW w:type="dxa" w:w="1560"/>
          </w:tcPr>
          <w:p>
            <w:r>
              <w:t>Procesos de revisión legal</w:t>
            </w:r>
          </w:p>
        </w:tc>
        <w:tc>
          <w:tcPr>
            <w:tcW w:type="dxa" w:w="1560"/>
          </w:tcPr>
          <w:p>
            <w:r>
              <w:t>$500K</w:t>
            </w:r>
          </w:p>
        </w:tc>
      </w:tr>
      <w:tr>
        <w:tc>
          <w:tcPr>
            <w:tcW w:type="dxa" w:w="1560"/>
          </w:tcPr>
          <w:p>
            <w:r>
              <w:t>Saturación de Mercado</w:t>
            </w:r>
          </w:p>
        </w:tc>
        <w:tc>
          <w:tcPr>
            <w:tcW w:type="dxa" w:w="1560"/>
          </w:tcPr>
          <w:p>
            <w:r>
              <w:t>70%</w:t>
            </w:r>
          </w:p>
        </w:tc>
        <w:tc>
          <w:tcPr>
            <w:tcW w:type="dxa" w:w="1560"/>
          </w:tcPr>
          <w:p>
            <w:r>
              <w:t>Alto</w:t>
            </w:r>
          </w:p>
        </w:tc>
        <w:tc>
          <w:tcPr>
            <w:tcW w:type="dxa" w:w="1560"/>
          </w:tcPr>
          <w:p>
            <w:r>
              <w:t>7.0/10</w:t>
            </w:r>
          </w:p>
        </w:tc>
        <w:tc>
          <w:tcPr>
            <w:tcW w:type="dxa" w:w="1560"/>
          </w:tcPr>
          <w:p>
            <w:r>
              <w:t>Estrategia de especialización</w:t>
            </w:r>
          </w:p>
        </w:tc>
        <w:tc>
          <w:tcPr>
            <w:tcW w:type="dxa" w:w="1560"/>
          </w:tcPr>
          <w:p>
            <w:r>
              <w:t>$1M</w:t>
            </w:r>
          </w:p>
        </w:tc>
      </w:tr>
      <w:tr>
        <w:tc>
          <w:tcPr>
            <w:tcW w:type="dxa" w:w="1560"/>
          </w:tcPr>
          <w:p>
            <w:r>
              <w:t>Ventas Empresariales</w:t>
            </w:r>
          </w:p>
        </w:tc>
        <w:tc>
          <w:tcPr>
            <w:tcW w:type="dxa" w:w="1560"/>
          </w:tcPr>
          <w:p>
            <w:r>
              <w:t>80%</w:t>
            </w:r>
          </w:p>
        </w:tc>
        <w:tc>
          <w:tcPr>
            <w:tcW w:type="dxa" w:w="1560"/>
          </w:tcPr>
          <w:p>
            <w:r>
              <w:t>Medio</w:t>
            </w:r>
          </w:p>
        </w:tc>
        <w:tc>
          <w:tcPr>
            <w:tcW w:type="dxa" w:w="1560"/>
          </w:tcPr>
          <w:p>
            <w:r>
              <w:t>6.0/10</w:t>
            </w:r>
          </w:p>
        </w:tc>
        <w:tc>
          <w:tcPr>
            <w:tcW w:type="dxa" w:w="1560"/>
          </w:tcPr>
          <w:p>
            <w:r>
              <w:t>Certificación SOC 2</w:t>
            </w:r>
          </w:p>
        </w:tc>
        <w:tc>
          <w:tcPr>
            <w:tcW w:type="dxa" w:w="1560"/>
          </w:tcPr>
          <w:p>
            <w:r>
              <w:t>$1.5M</w:t>
            </w:r>
          </w:p>
        </w:tc>
      </w:tr>
      <w:tr>
        <w:tc>
          <w:tcPr>
            <w:tcW w:type="dxa" w:w="1560"/>
          </w:tcPr>
          <w:p>
            <w:r>
              <w:t>Concentración de Clientes</w:t>
            </w:r>
          </w:p>
        </w:tc>
        <w:tc>
          <w:tcPr>
            <w:tcW w:type="dxa" w:w="1560"/>
          </w:tcPr>
          <w:p>
            <w:r>
              <w:t>50%</w:t>
            </w:r>
          </w:p>
        </w:tc>
        <w:tc>
          <w:tcPr>
            <w:tcW w:type="dxa" w:w="1560"/>
          </w:tcPr>
          <w:p>
            <w:r>
              <w:t>Medio</w:t>
            </w:r>
          </w:p>
        </w:tc>
        <w:tc>
          <w:tcPr>
            <w:tcW w:type="dxa" w:w="1560"/>
          </w:tcPr>
          <w:p>
            <w:r>
              <w:t>5.0/10</w:t>
            </w:r>
          </w:p>
        </w:tc>
        <w:tc>
          <w:tcPr>
            <w:tcW w:type="dxa" w:w="1560"/>
          </w:tcPr>
          <w:p>
            <w:r>
              <w:t>Diversificación</w:t>
            </w:r>
          </w:p>
        </w:tc>
        <w:tc>
          <w:tcPr>
            <w:tcW w:type="dxa" w:w="1560"/>
          </w:tcPr>
          <w:p>
            <w:r>
              <w:t>$800K</w:t>
            </w:r>
          </w:p>
        </w:tc>
      </w:tr>
      <w:tr>
        <w:tc>
          <w:tcPr>
            <w:tcW w:type="dxa" w:w="1560"/>
          </w:tcPr>
          <w:p>
            <w:r>
              <w:t>Cambios Regulatorios</w:t>
            </w:r>
          </w:p>
        </w:tc>
        <w:tc>
          <w:tcPr>
            <w:tcW w:type="dxa" w:w="1560"/>
          </w:tcPr>
          <w:p>
            <w:r>
              <w:t>40%</w:t>
            </w:r>
          </w:p>
        </w:tc>
        <w:tc>
          <w:tcPr>
            <w:tcW w:type="dxa" w:w="1560"/>
          </w:tcPr>
          <w:p>
            <w:r>
              <w:t>Alto</w:t>
            </w:r>
          </w:p>
        </w:tc>
        <w:tc>
          <w:tcPr>
            <w:tcW w:type="dxa" w:w="1560"/>
          </w:tcPr>
          <w:p>
            <w:r>
              <w:t>5.0/10</w:t>
            </w:r>
          </w:p>
        </w:tc>
        <w:tc>
          <w:tcPr>
            <w:tcW w:type="dxa" w:w="1560"/>
          </w:tcPr>
          <w:p>
            <w:r>
              <w:t>Framework de cumplimiento</w:t>
            </w:r>
          </w:p>
        </w:tc>
        <w:tc>
          <w:tcPr>
            <w:tcW w:type="dxa" w:w="1560"/>
          </w:tcPr>
          <w:p>
            <w:r>
              <w:t>$500K</w:t>
            </w:r>
          </w:p>
        </w:tc>
      </w:tr>
      <w:tr>
        <w:tc>
          <w:tcPr>
            <w:tcW w:type="dxa" w:w="1560"/>
          </w:tcPr>
          <w:p>
            <w:r>
              <w:t>Escalabilidad Tecnológica</w:t>
            </w:r>
          </w:p>
        </w:tc>
        <w:tc>
          <w:tcPr>
            <w:tcW w:type="dxa" w:w="1560"/>
          </w:tcPr>
          <w:p>
            <w:r>
              <w:t>60%</w:t>
            </w:r>
          </w:p>
        </w:tc>
        <w:tc>
          <w:tcPr>
            <w:tcW w:type="dxa" w:w="1560"/>
          </w:tcPr>
          <w:p>
            <w:r>
              <w:t>Medio</w:t>
            </w:r>
          </w:p>
        </w:tc>
        <w:tc>
          <w:tcPr>
            <w:tcW w:type="dxa" w:w="1560"/>
          </w:tcPr>
          <w:p>
            <w:r>
              <w:t>4.5/10</w:t>
            </w:r>
          </w:p>
        </w:tc>
        <w:tc>
          <w:tcPr>
            <w:tcW w:type="dxa" w:w="1560"/>
          </w:tcPr>
          <w:p>
            <w:r>
              <w:t>Optimización infraestructura</w:t>
            </w:r>
          </w:p>
        </w:tc>
        <w:tc>
          <w:tcPr>
            <w:tcW w:type="dxa" w:w="1560"/>
          </w:tcPr>
          <w:p>
            <w:r>
              <w:t>$1M</w:t>
            </w:r>
          </w:p>
        </w:tc>
      </w:tr>
      <w:tr>
        <w:tc>
          <w:tcPr>
            <w:tcW w:type="dxa" w:w="1560"/>
          </w:tcPr>
          <w:p>
            <w:r>
              <w:t>Retención de Talento</w:t>
            </w:r>
          </w:p>
        </w:tc>
        <w:tc>
          <w:tcPr>
            <w:tcW w:type="dxa" w:w="1560"/>
          </w:tcPr>
          <w:p>
            <w:r>
              <w:t>30%</w:t>
            </w:r>
          </w:p>
        </w:tc>
        <w:tc>
          <w:tcPr>
            <w:tcW w:type="dxa" w:w="1560"/>
          </w:tcPr>
          <w:p>
            <w:r>
              <w:t>Alto</w:t>
            </w:r>
          </w:p>
        </w:tc>
        <w:tc>
          <w:tcPr>
            <w:tcW w:type="dxa" w:w="1560"/>
          </w:tcPr>
          <w:p>
            <w:r>
              <w:t>4.0/10</w:t>
            </w:r>
          </w:p>
        </w:tc>
        <w:tc>
          <w:tcPr>
            <w:tcW w:type="dxa" w:w="1560"/>
          </w:tcPr>
          <w:p>
            <w:r>
              <w:t>Programas de equity</w:t>
            </w:r>
          </w:p>
        </w:tc>
        <w:tc>
          <w:tcPr>
            <w:tcW w:type="dxa" w:w="1560"/>
          </w:tcPr>
          <w:p>
            <w:r>
              <w:t>$500K</w:t>
            </w:r>
          </w:p>
        </w:tc>
      </w:tr>
    </w:tbl>
    <w:p>
      <w:r>
        <w:br w:type="page"/>
      </w:r>
    </w:p>
    <w:p>
      <w:pPr>
        <w:pStyle w:val="Heading1"/>
      </w:pPr>
      <w:r>
        <w:t>Análisis de Retorno de Inversión</w:t>
      </w:r>
    </w:p>
    <w:p>
      <w:r>
        <w:t>El análisis de ROI presenta tres escenarios (Conservador, Caso Base, Optimista) con sus respectivos múltiples de retorno, IRR y probabilidades de ocurrencia.</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rPr>
              <w:t>Escenario</w:t>
            </w:r>
          </w:p>
        </w:tc>
        <w:tc>
          <w:tcPr>
            <w:tcW w:type="dxa" w:w="1872"/>
            <w:shd w:fill="1e3a8a"/>
          </w:tcPr>
          <w:p>
            <w:r>
              <w:rPr>
                <w:b/>
                <w:color w:val="FFFFFF"/>
              </w:rPr>
              <w:t>Inversión</w:t>
            </w:r>
          </w:p>
        </w:tc>
        <w:tc>
          <w:tcPr>
            <w:tcW w:type="dxa" w:w="1872"/>
            <w:shd w:fill="1e3a8a"/>
          </w:tcPr>
          <w:p>
            <w:r>
              <w:rPr>
                <w:b/>
                <w:color w:val="FFFFFF"/>
              </w:rPr>
              <w:t>Valor Salida</w:t>
            </w:r>
          </w:p>
        </w:tc>
        <w:tc>
          <w:tcPr>
            <w:tcW w:type="dxa" w:w="1872"/>
            <w:shd w:fill="1e3a8a"/>
          </w:tcPr>
          <w:p>
            <w:r>
              <w:rPr>
                <w:b/>
                <w:color w:val="FFFFFF"/>
              </w:rPr>
              <w:t>Múltiple</w:t>
            </w:r>
          </w:p>
        </w:tc>
        <w:tc>
          <w:tcPr>
            <w:tcW w:type="dxa" w:w="1872"/>
            <w:shd w:fill="1e3a8a"/>
          </w:tcPr>
          <w:p>
            <w:r>
              <w:rPr>
                <w:b/>
                <w:color w:val="FFFFFF"/>
              </w:rPr>
              <w:t>IRR</w:t>
            </w:r>
          </w:p>
        </w:tc>
      </w:tr>
      <w:tr>
        <w:tc>
          <w:tcPr>
            <w:tcW w:type="dxa" w:w="1872"/>
          </w:tcPr>
          <w:p>
            <w:r>
              <w:t>Conservador</w:t>
            </w:r>
          </w:p>
        </w:tc>
        <w:tc>
          <w:tcPr>
            <w:tcW w:type="dxa" w:w="1872"/>
          </w:tcPr>
          <w:p>
            <w:r>
              <w:t>$8M</w:t>
            </w:r>
          </w:p>
        </w:tc>
        <w:tc>
          <w:tcPr>
            <w:tcW w:type="dxa" w:w="1872"/>
          </w:tcPr>
          <w:p>
            <w:r>
              <w:t>$100M</w:t>
            </w:r>
          </w:p>
        </w:tc>
        <w:tc>
          <w:tcPr>
            <w:tcW w:type="dxa" w:w="1872"/>
          </w:tcPr>
          <w:p>
            <w:r>
              <w:t>2.5x</w:t>
            </w:r>
          </w:p>
        </w:tc>
        <w:tc>
          <w:tcPr>
            <w:tcW w:type="dxa" w:w="1872"/>
          </w:tcPr>
          <w:p>
            <w:r>
              <w:t>25%</w:t>
            </w:r>
          </w:p>
        </w:tc>
      </w:tr>
      <w:tr>
        <w:tc>
          <w:tcPr>
            <w:tcW w:type="dxa" w:w="1872"/>
          </w:tcPr>
          <w:p>
            <w:r>
              <w:t>Caso Base</w:t>
            </w:r>
          </w:p>
        </w:tc>
        <w:tc>
          <w:tcPr>
            <w:tcW w:type="dxa" w:w="1872"/>
          </w:tcPr>
          <w:p>
            <w:r>
              <w:t>$8M</w:t>
            </w:r>
          </w:p>
        </w:tc>
        <w:tc>
          <w:tcPr>
            <w:tcW w:type="dxa" w:w="1872"/>
          </w:tcPr>
          <w:p>
            <w:r>
              <w:t>$200M</w:t>
            </w:r>
          </w:p>
        </w:tc>
        <w:tc>
          <w:tcPr>
            <w:tcW w:type="dxa" w:w="1872"/>
          </w:tcPr>
          <w:p>
            <w:r>
              <w:t>4.0x</w:t>
            </w:r>
          </w:p>
        </w:tc>
        <w:tc>
          <w:tcPr>
            <w:tcW w:type="dxa" w:w="1872"/>
          </w:tcPr>
          <w:p>
            <w:r>
              <w:t>45%</w:t>
            </w:r>
          </w:p>
        </w:tc>
      </w:tr>
      <w:tr>
        <w:tc>
          <w:tcPr>
            <w:tcW w:type="dxa" w:w="1872"/>
          </w:tcPr>
          <w:p>
            <w:r>
              <w:t>Optimista</w:t>
            </w:r>
          </w:p>
        </w:tc>
        <w:tc>
          <w:tcPr>
            <w:tcW w:type="dxa" w:w="1872"/>
          </w:tcPr>
          <w:p>
            <w:r>
              <w:t>$8M</w:t>
            </w:r>
          </w:p>
        </w:tc>
        <w:tc>
          <w:tcPr>
            <w:tcW w:type="dxa" w:w="1872"/>
          </w:tcPr>
          <w:p>
            <w:r>
              <w:t>$500M</w:t>
            </w:r>
          </w:p>
        </w:tc>
        <w:tc>
          <w:tcPr>
            <w:tcW w:type="dxa" w:w="1872"/>
          </w:tcPr>
          <w:p>
            <w:r>
              <w:t>10.0x</w:t>
            </w:r>
          </w:p>
        </w:tc>
        <w:tc>
          <w:tcPr>
            <w:tcW w:type="dxa" w:w="1872"/>
          </w:tcPr>
          <w:p>
            <w:r>
              <w:t>80%</w:t>
            </w:r>
          </w:p>
        </w:tc>
      </w:tr>
      <w:tr>
        <w:tc>
          <w:tcPr>
            <w:tcW w:type="dxa" w:w="1872"/>
          </w:tcPr>
          <w:p>
            <w:r>
              <w:rPr>
                <w:b/>
              </w:rPr>
              <w:t>PROMEDIO PONDERADO</w:t>
            </w:r>
          </w:p>
        </w:tc>
        <w:tc>
          <w:tcPr>
            <w:tcW w:type="dxa" w:w="1872"/>
          </w:tcPr>
          <w:p>
            <w:r>
              <w:rPr>
                <w:b/>
              </w:rPr>
              <w:t>$8M</w:t>
            </w:r>
          </w:p>
        </w:tc>
        <w:tc>
          <w:tcPr>
            <w:tcW w:type="dxa" w:w="1872"/>
          </w:tcPr>
          <w:p>
            <w:r>
              <w:rPr>
                <w:b/>
              </w:rPr>
              <w:t>$200M</w:t>
            </w:r>
          </w:p>
        </w:tc>
        <w:tc>
          <w:tcPr>
            <w:tcW w:type="dxa" w:w="1872"/>
          </w:tcPr>
          <w:p>
            <w:r>
              <w:rPr>
                <w:b/>
              </w:rPr>
              <w:t>4.0x</w:t>
            </w:r>
          </w:p>
        </w:tc>
        <w:tc>
          <w:tcPr>
            <w:tcW w:type="dxa" w:w="1872"/>
          </w:tcPr>
          <w:p>
            <w:r>
              <w:rPr>
                <w:b/>
              </w:rPr>
              <w:t>45%</w:t>
            </w:r>
          </w:p>
        </w:tc>
      </w:tr>
    </w:tbl>
    <w:p>
      <w:r>
        <w:br w:type="page"/>
      </w:r>
    </w:p>
    <w:p>
      <w:pPr>
        <w:pStyle w:val="Heading1"/>
      </w:pPr>
      <w:r>
        <w:t>Conclusión y Recomendaciones</w:t>
      </w:r>
    </w:p>
    <w:p>
      <w:r>
        <w:rPr>
          <w:sz w:val="22"/>
        </w:rPr>
        <w:t>El análisis de inversión en venture capital presenta una oportunidad sólida con un mercado en crecimiento, unit economics fuertes y un equipo ejecutivo experimentado. La recomendación es proceder con la inversión Series B de $8M a una valuación pre-money de $50M, con expectativa de retorno de 4x en 3 años (IRR del 45%).</w:t>
      </w:r>
    </w:p>
    <w:p>
      <w:r>
        <w:br/>
        <w:t>Factores Clave de Éxito:</w:t>
      </w:r>
    </w:p>
    <w:p>
      <w:pPr>
        <w:pStyle w:val="ListBullet"/>
      </w:pPr>
      <w:r>
        <w:rPr>
          <w:sz w:val="22"/>
        </w:rPr>
        <w:t>Mercado grande y en crecimiento (TAM $13.1B, CAGR 25.1%)</w:t>
      </w:r>
    </w:p>
    <w:p>
      <w:pPr>
        <w:pStyle w:val="ListBullet"/>
      </w:pPr>
      <w:r>
        <w:rPr>
          <w:sz w:val="22"/>
        </w:rPr>
        <w:t>Unit economics excepcionales (LTV/CAC 271:1)</w:t>
      </w:r>
    </w:p>
    <w:p>
      <w:pPr>
        <w:pStyle w:val="ListBullet"/>
      </w:pPr>
      <w:r>
        <w:rPr>
          <w:sz w:val="22"/>
        </w:rPr>
        <w:t>Primer movedor en plataforma integrada IA + Marketing + Educación</w:t>
      </w:r>
    </w:p>
    <w:p>
      <w:pPr>
        <w:pStyle w:val="ListBullet"/>
      </w:pPr>
      <w:r>
        <w:rPr>
          <w:sz w:val="22"/>
        </w:rPr>
        <w:t>Equipo con experiencia comprobada en ejecución</w:t>
      </w:r>
    </w:p>
    <w:p>
      <w:pPr>
        <w:pStyle w:val="ListBullet"/>
      </w:pPr>
      <w:r>
        <w:rPr>
          <w:sz w:val="22"/>
        </w:rPr>
        <w:t>Múltiples opciones de salida (IPO, Adquisición Estratégica, 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