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/>
          <w:b/>
          <w:color w:val="000000"/>
          <w:sz w:val="46"/>
        </w:rPr>
        <w:t>MOCK MATTER BRIEF</w:t>
      </w:r>
    </w:p>
    <w:p>
      <w:pPr>
        <w:spacing w:before="0" w:after="320"/>
      </w:pPr>
      <w:r>
        <w:rPr>
          <w:rFonts w:ascii="Calibri" w:hAnsi="Calibri"/>
          <w:color w:val="555555"/>
          <w:sz w:val="28"/>
        </w:rPr>
        <w:t>Pepsi Co M&amp;A</w:t>
      </w:r>
    </w:p>
    <w:p>
      <w:pPr>
        <w:spacing w:before="0" w:after="40" w:line="264" w:lineRule="auto"/>
      </w:pPr>
      <w:r>
        <w:rPr>
          <w:rFonts w:ascii="Calibri" w:hAnsi="Calibri"/>
          <w:b/>
          <w:sz w:val="22"/>
        </w:rPr>
        <w:t xml:space="preserve">Client: </w:t>
      </w:r>
      <w:r>
        <w:rPr>
          <w:rFonts w:ascii="Calibri" w:hAnsi="Calibri"/>
          <w:sz w:val="22"/>
        </w:rPr>
        <w:t>Pepsi Co</w:t>
      </w:r>
    </w:p>
    <w:p>
      <w:pPr>
        <w:spacing w:before="0" w:after="40" w:line="264" w:lineRule="auto"/>
      </w:pPr>
      <w:r>
        <w:rPr>
          <w:rFonts w:ascii="Calibri" w:hAnsi="Calibri"/>
          <w:b/>
          <w:sz w:val="22"/>
        </w:rPr>
        <w:t xml:space="preserve">Client ID: </w:t>
      </w:r>
      <w:r>
        <w:rPr>
          <w:rFonts w:ascii="Calibri" w:hAnsi="Calibri"/>
          <w:sz w:val="22"/>
        </w:rPr>
        <w:t>20001</w:t>
      </w:r>
    </w:p>
    <w:p>
      <w:pPr>
        <w:spacing w:before="0" w:after="40" w:line="264" w:lineRule="auto"/>
      </w:pPr>
      <w:r>
        <w:rPr>
          <w:rFonts w:ascii="Calibri" w:hAnsi="Calibri"/>
          <w:b/>
          <w:sz w:val="22"/>
        </w:rPr>
        <w:t xml:space="preserve">Matter ID: </w:t>
      </w:r>
      <w:r>
        <w:rPr>
          <w:rFonts w:ascii="Calibri" w:hAnsi="Calibri"/>
          <w:sz w:val="22"/>
        </w:rPr>
        <w:t>0001</w:t>
      </w:r>
    </w:p>
    <w:p>
      <w:pPr>
        <w:spacing w:before="0" w:after="200" w:line="264" w:lineRule="auto"/>
        <w:pBdr>
          <w:bottom w:val="single" w:sz="8" w:space="5" w:color="D9E2F3"/>
        </w:pBdr>
      </w:pPr>
      <w:r>
        <w:rPr>
          <w:rFonts w:ascii="Calibri" w:hAnsi="Calibri"/>
          <w:b/>
          <w:sz w:val="22"/>
        </w:rPr>
        <w:t xml:space="preserve">Classification: </w:t>
      </w:r>
      <w:r>
        <w:rPr>
          <w:rFonts w:ascii="Calibri" w:hAnsi="Calibri"/>
          <w:sz w:val="22"/>
        </w:rPr>
        <w:t>Public with ethical-wall exclusions</w:t>
      </w:r>
    </w:p>
    <w:p>
      <w:pPr>
        <w:pStyle w:val="Heading1"/>
      </w:pPr>
      <w:r>
        <w:t>Demo content</w:t>
      </w:r>
    </w:p>
    <w:p>
      <w:r>
        <w:t>Fictional merger planning notes for the Pepsi Co engagement.</w:t>
      </w:r>
    </w:p>
    <w:p>
      <w:r>
        <w:t>This document contains no real client information. It exists only to test that the mock server authorizes a user before returning matter content.</w:t>
      </w:r>
    </w:p>
    <w:p>
      <w:pPr>
        <w:pStyle w:val="Heading1"/>
      </w:pPr>
      <w:r>
        <w:t>Access test context</w:t>
      </w:r>
    </w:p>
    <w:p>
      <w:r>
        <w:t>Barry is screened from this matter. Amy and other known users follow the public default unless another explicit rule applies.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 w:val="0"/>
        <w:i/>
        <w:color w:val="555555"/>
        <w:sz w:val="18"/>
      </w:rPr>
      <w:t>Fictional test data - no real client information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55555"/>
        <w:sz w:val="18"/>
      </w:rPr>
      <w:t>OpenBox AI Demo | Mock Matter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Pepsi Co M&amp;A</dc:title>
  <dc:subject>OpenBox AI Walls access-control fixture</dc:subject>
  <dc:creator>OpenBox AI Mock Server</dc:creator>
  <cp:keywords/>
  <dc:description>Fictional content generated for local authorization testing.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