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color w:val="000000"/>
          <w:sz w:val="46"/>
        </w:rPr>
        <w:t>MOCK MATTER BRIEF</w:t>
      </w:r>
    </w:p>
    <w:p>
      <w:pPr>
        <w:spacing w:before="0" w:after="320"/>
      </w:pPr>
      <w:r>
        <w:rPr>
          <w:rFonts w:ascii="Calibri" w:hAnsi="Calibri"/>
          <w:color w:val="555555"/>
          <w:sz w:val="28"/>
        </w:rPr>
        <w:t>Citi Bank - Reorganization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Client: </w:t>
      </w:r>
      <w:r>
        <w:rPr>
          <w:rFonts w:ascii="Calibri" w:hAnsi="Calibri"/>
          <w:sz w:val="22"/>
        </w:rPr>
        <w:t>Citi Bank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Client ID: </w:t>
      </w:r>
      <w:r>
        <w:rPr>
          <w:rFonts w:ascii="Calibri" w:hAnsi="Calibri"/>
          <w:sz w:val="22"/>
        </w:rPr>
        <w:t>30002</w:t>
      </w:r>
    </w:p>
    <w:p>
      <w:pPr>
        <w:spacing w:before="0" w:after="40" w:line="264" w:lineRule="auto"/>
      </w:pPr>
      <w:r>
        <w:rPr>
          <w:rFonts w:ascii="Calibri" w:hAnsi="Calibri"/>
          <w:b/>
          <w:sz w:val="22"/>
        </w:rPr>
        <w:t xml:space="preserve">Matter ID: </w:t>
      </w:r>
      <w:r>
        <w:rPr>
          <w:rFonts w:ascii="Calibri" w:hAnsi="Calibri"/>
          <w:sz w:val="22"/>
        </w:rPr>
        <w:t>0001</w:t>
      </w:r>
    </w:p>
    <w:p>
      <w:pPr>
        <w:spacing w:before="0" w:after="200" w:line="264" w:lineRule="auto"/>
        <w:pBdr>
          <w:bottom w:val="single" w:sz="8" w:space="5" w:color="D9E2F3"/>
        </w:pBdr>
      </w:pPr>
      <w:r>
        <w:rPr>
          <w:rFonts w:ascii="Calibri" w:hAnsi="Calibri"/>
          <w:b/>
          <w:sz w:val="22"/>
        </w:rPr>
        <w:t xml:space="preserve">Classification: </w:t>
      </w:r>
      <w:r>
        <w:rPr>
          <w:rFonts w:ascii="Calibri" w:hAnsi="Calibri"/>
          <w:sz w:val="22"/>
        </w:rPr>
        <w:t>Public with one explicit exclusion</w:t>
      </w:r>
    </w:p>
    <w:p>
      <w:pPr>
        <w:pStyle w:val="Heading1"/>
      </w:pPr>
      <w:r>
        <w:t>Demo content</w:t>
      </w:r>
    </w:p>
    <w:p>
      <w:r>
        <w:t>Fictional restructuring notes for the Citi Bank engagement.</w:t>
      </w:r>
    </w:p>
    <w:p>
      <w:r>
        <w:t>This document contains no real client information. It exists only to test that the mock server authorizes a user before returning matter content.</w:t>
      </w:r>
    </w:p>
    <w:p>
      <w:pPr>
        <w:pStyle w:val="Heading1"/>
      </w:pPr>
      <w:r>
        <w:t>Access test context</w:t>
      </w:r>
    </w:p>
    <w:p>
      <w:r>
        <w:t>Colin is explicitly denied. Every other known user follows the public default and is allowed.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b w:val="0"/>
        <w:i/>
        <w:color w:val="555555"/>
        <w:sz w:val="18"/>
      </w:rPr>
      <w:t>Fictional test data - no real client information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55555"/>
        <w:sz w:val="18"/>
      </w:rPr>
      <w:t>OpenBox AI Demo | Mock Matter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Citi Bank - Reorganization</dc:title>
  <dc:subject>OpenBox AI Walls access-control fixture</dc:subject>
  <dc:creator>OpenBox AI Mock Server</dc:creator>
  <cp:keywords/>
  <dc:description>Fictional content generated for local authorization testing.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