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2F74" w:rsidRDefault="00AC7E82">
      <w:pPr>
        <w:pStyle w:val="RTiSWDocChapterTitle"/>
      </w:pPr>
      <w:r>
        <w:t xml:space="preserve">Command Reference: </w:t>
      </w:r>
      <w:proofErr w:type="spellStart"/>
      <w:r>
        <w:t>S</w:t>
      </w:r>
      <w:r w:rsidR="00CA2F74">
        <w:t>etWellAggregate</w:t>
      </w:r>
      <w:proofErr w:type="spellEnd"/>
      <w:r w:rsidR="00CA2F74">
        <w:t xml:space="preserve"> ()</w:t>
      </w:r>
    </w:p>
    <w:p w:rsidR="00CA2F74" w:rsidRDefault="00CA2F74"/>
    <w:p w:rsidR="00CA2F74" w:rsidRDefault="00CA2F74">
      <w:pPr>
        <w:pStyle w:val="RTiSWDocChapterSubtitle"/>
      </w:pPr>
      <w:r>
        <w:t>Set well aggregate parts</w:t>
      </w:r>
    </w:p>
    <w:p w:rsidR="00CA2F74" w:rsidRDefault="00CA2F74"/>
    <w:p w:rsidR="00CA2F74" w:rsidRDefault="00CA2F74">
      <w:pPr>
        <w:pStyle w:val="RTiSWDocChapterSubtitle"/>
      </w:pPr>
      <w:proofErr w:type="spellStart"/>
      <w:r>
        <w:t>StateCU</w:t>
      </w:r>
      <w:proofErr w:type="spellEnd"/>
      <w:r>
        <w:t xml:space="preserve"> and </w:t>
      </w:r>
      <w:proofErr w:type="spellStart"/>
      <w:r>
        <w:t>StateMod</w:t>
      </w:r>
      <w:proofErr w:type="spellEnd"/>
      <w:r>
        <w:t xml:space="preserve"> Command</w:t>
      </w:r>
    </w:p>
    <w:p w:rsidR="00CA2F74" w:rsidRDefault="00CA2F74">
      <w:pPr>
        <w:pStyle w:val="RTiSWDocNote"/>
      </w:pPr>
      <w:r>
        <w:t xml:space="preserve">Version </w:t>
      </w:r>
      <w:r w:rsidR="00357AF6">
        <w:t>4</w:t>
      </w:r>
      <w:r>
        <w:t>.</w:t>
      </w:r>
      <w:r w:rsidR="00AC7E82">
        <w:t>0</w:t>
      </w:r>
      <w:r w:rsidR="00357AF6">
        <w:t>0</w:t>
      </w:r>
      <w:r>
        <w:t>.0</w:t>
      </w:r>
      <w:r w:rsidR="00627DFA">
        <w:t>0</w:t>
      </w:r>
      <w:r>
        <w:t>, 20</w:t>
      </w:r>
      <w:r w:rsidR="00AC7E82">
        <w:t>1</w:t>
      </w:r>
      <w:r w:rsidR="00357AF6">
        <w:t>6</w:t>
      </w:r>
      <w:r>
        <w:t>-0</w:t>
      </w:r>
      <w:r w:rsidR="00357AF6">
        <w:t>5</w:t>
      </w:r>
      <w:r>
        <w:t>-</w:t>
      </w:r>
      <w:r w:rsidR="00627DFA">
        <w:t>1</w:t>
      </w:r>
      <w:r w:rsidR="00357AF6">
        <w:t>9</w:t>
      </w:r>
    </w:p>
    <w:p w:rsidR="00CA2F74" w:rsidRDefault="00CA2F74"/>
    <w:p w:rsidR="00AC7E82" w:rsidRDefault="00AC7E82" w:rsidP="00AC7E82">
      <w:r>
        <w:t xml:space="preserve">The </w:t>
      </w:r>
      <w:proofErr w:type="spellStart"/>
      <w:r>
        <w:rPr>
          <w:rStyle w:val="RTiSWDocLiteralText"/>
        </w:rPr>
        <w:t>SetWellAggregate</w:t>
      </w:r>
      <w:proofErr w:type="spellEnd"/>
      <w:r>
        <w:rPr>
          <w:rStyle w:val="RTiSWDocLiteralText"/>
        </w:rPr>
        <w:t>()</w:t>
      </w:r>
      <w:r>
        <w:t xml:space="preserve"> command sets well aggregate part identifier data for a well (a CU Location that corresponds to a </w:t>
      </w:r>
      <w:r w:rsidR="00316092">
        <w:t>location with well supply</w:t>
      </w:r>
      <w:r>
        <w:t xml:space="preserve">, or </w:t>
      </w:r>
      <w:proofErr w:type="spellStart"/>
      <w:r>
        <w:t>StateMod</w:t>
      </w:r>
      <w:proofErr w:type="spellEnd"/>
      <w:r>
        <w:t xml:space="preserve"> well station).  Well aggregates are specified using a list of part identifiers as follows:</w:t>
      </w:r>
    </w:p>
    <w:p w:rsidR="00AC7E82" w:rsidRDefault="00AC7E82" w:rsidP="00AC7E82"/>
    <w:p w:rsidR="00AC7E82" w:rsidRDefault="00AC7E82" w:rsidP="00AC7E82">
      <w:pPr>
        <w:numPr>
          <w:ilvl w:val="0"/>
          <w:numId w:val="2"/>
        </w:numPr>
      </w:pPr>
      <w:r>
        <w:t xml:space="preserve">Part type is </w:t>
      </w:r>
      <w:r w:rsidRPr="0061782A">
        <w:rPr>
          <w:rStyle w:val="RTiSWDocLiteralText"/>
        </w:rPr>
        <w:t>Ditch</w:t>
      </w:r>
      <w:r>
        <w:t xml:space="preserve"> – the collection includes wells that are associated with a list of ditches</w:t>
      </w:r>
      <w:r w:rsidR="00316092">
        <w:t>, identified using ditch water district identifiers (WDIDs)</w:t>
      </w:r>
      <w:r>
        <w:t>.</w:t>
      </w:r>
      <w:r w:rsidR="00316092">
        <w:t xml:space="preserve">  The list of ditches is used for the full period.</w:t>
      </w:r>
    </w:p>
    <w:p w:rsidR="00AC7E82" w:rsidRDefault="00AC7E82" w:rsidP="00AC7E82">
      <w:pPr>
        <w:numPr>
          <w:ilvl w:val="0"/>
          <w:numId w:val="2"/>
        </w:numPr>
      </w:pPr>
      <w:r>
        <w:t xml:space="preserve">Part type is </w:t>
      </w:r>
      <w:r w:rsidRPr="0061782A">
        <w:rPr>
          <w:rStyle w:val="RTiSWDocLiteralText"/>
        </w:rPr>
        <w:t>Parcel</w:t>
      </w:r>
      <w:r>
        <w:t xml:space="preserve"> – the collection includes wells that are associated with a list of parcels.  The division and year must be specified in the command because well to parcel relationships </w:t>
      </w:r>
      <w:r w:rsidR="00316092">
        <w:t>are determined for specific years</w:t>
      </w:r>
      <w:r>
        <w:t>.</w:t>
      </w:r>
    </w:p>
    <w:p w:rsidR="00AC7E82" w:rsidRDefault="00AC7E82" w:rsidP="00357AF6">
      <w:pPr>
        <w:numPr>
          <w:ilvl w:val="0"/>
          <w:numId w:val="2"/>
        </w:numPr>
      </w:pPr>
      <w:r>
        <w:t xml:space="preserve">Part type is </w:t>
      </w:r>
      <w:proofErr w:type="gramStart"/>
      <w:r w:rsidRPr="0061782A">
        <w:rPr>
          <w:rStyle w:val="RTiSWDocLiteralText"/>
        </w:rPr>
        <w:t>Well</w:t>
      </w:r>
      <w:proofErr w:type="gramEnd"/>
      <w:r>
        <w:t xml:space="preserve"> – the collection includes wells identified by </w:t>
      </w:r>
      <w:r w:rsidR="00316092">
        <w:t>well WDID</w:t>
      </w:r>
      <w:r>
        <w:t xml:space="preserve"> </w:t>
      </w:r>
      <w:r w:rsidR="00357AF6">
        <w:t>or well permit “receipt”</w:t>
      </w:r>
      <w:r>
        <w:t>.</w:t>
      </w:r>
      <w:r w:rsidR="00357AF6">
        <w:t xml:space="preserve">  Receipts should be specified with a leading </w:t>
      </w:r>
      <w:r w:rsidR="00357AF6" w:rsidRPr="00357AF6">
        <w:rPr>
          <w:rStyle w:val="RTiSWDocLiteralText"/>
        </w:rPr>
        <w:t>P:</w:t>
      </w:r>
      <w:r w:rsidR="00357AF6">
        <w:t xml:space="preserve"> (e.g., </w:t>
      </w:r>
      <w:r w:rsidR="00357AF6" w:rsidRPr="00357AF6">
        <w:rPr>
          <w:rStyle w:val="RTiSWDocLiteralText"/>
        </w:rPr>
        <w:t>P</w:t>
      </w:r>
      <w:proofErr w:type="gramStart"/>
      <w:r w:rsidR="00357AF6" w:rsidRPr="00357AF6">
        <w:rPr>
          <w:rStyle w:val="RTiSWDocLiteralText"/>
        </w:rPr>
        <w:t>:1234567A</w:t>
      </w:r>
      <w:proofErr w:type="gramEnd"/>
      <w:r w:rsidR="00357AF6">
        <w:t xml:space="preserve">) in which case the leading </w:t>
      </w:r>
      <w:r w:rsidR="00357AF6" w:rsidRPr="00357AF6">
        <w:rPr>
          <w:rStyle w:val="RTiSWDocLiteralText"/>
        </w:rPr>
        <w:t>P:</w:t>
      </w:r>
      <w:r w:rsidR="00357AF6">
        <w:t xml:space="preserve"> will be stripped and the remainder used for the receipt during processing.  The internal part ID type will be set to </w:t>
      </w:r>
      <w:r w:rsidR="00357AF6" w:rsidRPr="00357AF6">
        <w:rPr>
          <w:rStyle w:val="RTiSWDocLiteralText"/>
        </w:rPr>
        <w:t>WDID</w:t>
      </w:r>
      <w:r w:rsidR="00357AF6">
        <w:t xml:space="preserve"> or </w:t>
      </w:r>
      <w:r w:rsidR="00357AF6" w:rsidRPr="00357AF6">
        <w:rPr>
          <w:rStyle w:val="RTiSWDocLiteralText"/>
        </w:rPr>
        <w:t>Receipt</w:t>
      </w:r>
      <w:r w:rsidR="00357AF6">
        <w:t>, as appropriate.</w:t>
      </w:r>
    </w:p>
    <w:p w:rsidR="00AC7E82" w:rsidRDefault="00AC7E82" w:rsidP="00AC7E82"/>
    <w:p w:rsidR="00AC7E82" w:rsidRDefault="00AC7E82" w:rsidP="00AC7E82">
      <w:r>
        <w:t xml:space="preserve">To facilitate processing, it is often best to use list files to specific aggregates (see </w:t>
      </w:r>
      <w:proofErr w:type="spellStart"/>
      <w:r w:rsidRPr="002735BE">
        <w:rPr>
          <w:rStyle w:val="RTiSWDocLiteralText"/>
        </w:rPr>
        <w:t>Set</w:t>
      </w:r>
      <w:r>
        <w:rPr>
          <w:rStyle w:val="RTiSWDocLiteralText"/>
        </w:rPr>
        <w:t>Well</w:t>
      </w:r>
      <w:r w:rsidRPr="002735BE">
        <w:rPr>
          <w:rStyle w:val="RTiSWDocLiteralText"/>
        </w:rPr>
        <w:t>AggregateFromList</w:t>
      </w:r>
      <w:proofErr w:type="spellEnd"/>
      <w:r w:rsidRPr="002735BE">
        <w:rPr>
          <w:rStyle w:val="RTiSWDocLiteralText"/>
        </w:rPr>
        <w:t>()</w:t>
      </w:r>
      <w:r>
        <w:t xml:space="preserve">).  Aggregates by convention have their water rights grouped into classes – to represent all water rights at a location, use a system (see the similar </w:t>
      </w:r>
      <w:r w:rsidRPr="00BD0958">
        <w:rPr>
          <w:rStyle w:val="RTiSWDocLiteralText"/>
        </w:rPr>
        <w:t>System</w:t>
      </w:r>
      <w:r>
        <w:t xml:space="preserve"> commands).  See also the </w:t>
      </w:r>
      <w:proofErr w:type="spellStart"/>
      <w:r>
        <w:t>StateDMI</w:t>
      </w:r>
      <w:proofErr w:type="spellEnd"/>
      <w:r>
        <w:t xml:space="preserve"> </w:t>
      </w:r>
      <w:r w:rsidRPr="002735BE">
        <w:rPr>
          <w:rStyle w:val="RTiSWDocSectionReference"/>
        </w:rPr>
        <w:t>Introduction</w:t>
      </w:r>
      <w:r>
        <w:t xml:space="preserve"> chapter, which provides additional information about aggregates and other modeling conventions.  Aggregate information should be specified after well locations are defined and before their use in other processing, such as reading data from </w:t>
      </w:r>
      <w:proofErr w:type="spellStart"/>
      <w:r>
        <w:t>HydroBase</w:t>
      </w:r>
      <w:proofErr w:type="spellEnd"/>
      <w:r>
        <w:t>.</w:t>
      </w:r>
    </w:p>
    <w:p w:rsidR="00AC7E82" w:rsidRDefault="00AC7E82"/>
    <w:p w:rsidR="00CA2F74" w:rsidRDefault="0061782A">
      <w:r>
        <w:br w:type="page"/>
      </w:r>
      <w:r w:rsidR="00CA2F74">
        <w:lastRenderedPageBreak/>
        <w:t>The following dialog is used to edit the command and illustrates the syntax of the command.</w:t>
      </w:r>
    </w:p>
    <w:p w:rsidR="00CA2F74" w:rsidRDefault="00CA2F74"/>
    <w:p w:rsidR="00CA2F74" w:rsidRDefault="00357AF6">
      <w:pPr>
        <w:jc w:val="center"/>
      </w:pPr>
      <w:r>
        <w:rPr>
          <w:noProof/>
        </w:rPr>
        <w:drawing>
          <wp:inline distT="0" distB="0" distL="0" distR="0">
            <wp:extent cx="5943600" cy="520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SetWellAggreg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rsidR="00CA2F74" w:rsidRDefault="00AC7E82">
      <w:pPr>
        <w:pStyle w:val="RTiSWDocNote"/>
      </w:pPr>
      <w:proofErr w:type="spellStart"/>
      <w:r>
        <w:t>S</w:t>
      </w:r>
      <w:r w:rsidR="00CA2F74">
        <w:t>etWellAggregate</w:t>
      </w:r>
      <w:proofErr w:type="spellEnd"/>
    </w:p>
    <w:p w:rsidR="00CA2F74" w:rsidRDefault="00AC7E82">
      <w:pPr>
        <w:pStyle w:val="RTiSWDocFigureTableTitle"/>
      </w:pPr>
      <w:proofErr w:type="spellStart"/>
      <w:r>
        <w:t>S</w:t>
      </w:r>
      <w:r w:rsidR="00CA2F74">
        <w:t>etWellAggregate</w:t>
      </w:r>
      <w:proofErr w:type="spellEnd"/>
      <w:r w:rsidR="00CA2F74">
        <w:t>() Command Editor</w:t>
      </w:r>
    </w:p>
    <w:p w:rsidR="00CA2F74" w:rsidRDefault="00CA2F74">
      <w:pPr>
        <w:rPr>
          <w:rFonts w:ascii="Arial" w:hAnsi="Arial"/>
          <w:b/>
          <w:sz w:val="24"/>
        </w:rPr>
      </w:pPr>
      <w:bookmarkStart w:id="0" w:name="replaceValue"/>
    </w:p>
    <w:p w:rsidR="00CA2F74" w:rsidRDefault="00E121A2">
      <w:r>
        <w:br w:type="page"/>
      </w:r>
      <w:r w:rsidR="00CA2F74">
        <w:lastRenderedPageBreak/>
        <w:t>The command syntax is as follows:</w:t>
      </w:r>
    </w:p>
    <w:p w:rsidR="00CA2F74" w:rsidRDefault="00CA2F74"/>
    <w:p w:rsidR="00CA2F74" w:rsidRDefault="0061782A">
      <w:pPr>
        <w:ind w:left="720"/>
        <w:rPr>
          <w:rStyle w:val="RTiSWDocLiteralText"/>
        </w:rPr>
      </w:pPr>
      <w:proofErr w:type="spellStart"/>
      <w:r>
        <w:rPr>
          <w:rStyle w:val="RTiSWDocLiteralText"/>
        </w:rPr>
        <w:t>S</w:t>
      </w:r>
      <w:r w:rsidR="00CA2F74">
        <w:rPr>
          <w:rStyle w:val="RTiSWDocLiteralText"/>
        </w:rPr>
        <w:t>etWellAggregate</w:t>
      </w:r>
      <w:proofErr w:type="spellEnd"/>
      <w:r w:rsidR="00CA2F74">
        <w:rPr>
          <w:rStyle w:val="RTiSWDocLiteralText"/>
        </w:rPr>
        <w:t>(</w:t>
      </w:r>
      <w:r>
        <w:rPr>
          <w:rStyle w:val="RTiSWDocLiteralText"/>
        </w:rPr>
        <w:t>P</w:t>
      </w:r>
      <w:r w:rsidR="00CA2F74">
        <w:rPr>
          <w:rStyle w:val="RTiSWDocLiteralText"/>
        </w:rPr>
        <w:t>aram</w:t>
      </w:r>
      <w:r>
        <w:rPr>
          <w:rStyle w:val="RTiSWDocLiteralText"/>
        </w:rPr>
        <w:t>eter=V</w:t>
      </w:r>
      <w:r w:rsidR="00CA2F74">
        <w:rPr>
          <w:rStyle w:val="RTiSWDocLiteralText"/>
        </w:rPr>
        <w:t>alue,…)</w:t>
      </w:r>
    </w:p>
    <w:p w:rsidR="00CA2F74" w:rsidRDefault="00CA2F74"/>
    <w:p w:rsidR="00CA2F74" w:rsidRDefault="00CA2F74">
      <w:pPr>
        <w:pStyle w:val="RTiSWDocFigureTableTitle"/>
      </w:pPr>
      <w:r>
        <w:t>Command Parameters</w:t>
      </w:r>
    </w:p>
    <w:p w:rsidR="00CA2F74" w:rsidRDefault="00CA2F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4347"/>
        <w:gridCol w:w="3192"/>
      </w:tblGrid>
      <w:tr w:rsidR="00CA2F74" w:rsidTr="0061782A">
        <w:trPr>
          <w:tblHeader/>
          <w:jc w:val="center"/>
        </w:trPr>
        <w:tc>
          <w:tcPr>
            <w:tcW w:w="1600" w:type="dxa"/>
            <w:shd w:val="clear" w:color="auto" w:fill="C0C0C0"/>
          </w:tcPr>
          <w:p w:rsidR="00CA2F74" w:rsidRDefault="00CA2F74">
            <w:pPr>
              <w:pStyle w:val="RTiSWDocTableHeading"/>
            </w:pPr>
            <w:r>
              <w:t>Parameter</w:t>
            </w:r>
          </w:p>
        </w:tc>
        <w:tc>
          <w:tcPr>
            <w:tcW w:w="4347" w:type="dxa"/>
            <w:shd w:val="clear" w:color="auto" w:fill="C0C0C0"/>
          </w:tcPr>
          <w:p w:rsidR="00CA2F74" w:rsidRDefault="00CA2F74">
            <w:pPr>
              <w:pStyle w:val="RTiSWDocTableHeading"/>
            </w:pPr>
            <w:r>
              <w:t>Description</w:t>
            </w:r>
          </w:p>
        </w:tc>
        <w:tc>
          <w:tcPr>
            <w:tcW w:w="3192" w:type="dxa"/>
            <w:shd w:val="clear" w:color="auto" w:fill="C0C0C0"/>
          </w:tcPr>
          <w:p w:rsidR="00CA2F74" w:rsidRDefault="00CA2F74">
            <w:pPr>
              <w:pStyle w:val="RTiSWDocTableHeading"/>
            </w:pPr>
            <w:r>
              <w:t>Default</w:t>
            </w:r>
          </w:p>
        </w:tc>
      </w:tr>
      <w:tr w:rsidR="00CA2F74">
        <w:trPr>
          <w:jc w:val="center"/>
        </w:trPr>
        <w:tc>
          <w:tcPr>
            <w:tcW w:w="1600" w:type="dxa"/>
          </w:tcPr>
          <w:p w:rsidR="00CA2F74" w:rsidRDefault="00CA2F74">
            <w:pPr>
              <w:rPr>
                <w:rStyle w:val="RTiSWDocLiteralText"/>
              </w:rPr>
            </w:pPr>
            <w:r>
              <w:rPr>
                <w:rStyle w:val="RTiSWDocLiteralText"/>
              </w:rPr>
              <w:t>ID</w:t>
            </w:r>
          </w:p>
        </w:tc>
        <w:tc>
          <w:tcPr>
            <w:tcW w:w="4347" w:type="dxa"/>
          </w:tcPr>
          <w:p w:rsidR="00CA2F74" w:rsidRDefault="00CA2F74">
            <w:r>
              <w:t xml:space="preserve">The well identifier </w:t>
            </w:r>
            <w:r w:rsidR="0061782A">
              <w:t>to associate with the collection of individual wells.</w:t>
            </w:r>
          </w:p>
        </w:tc>
        <w:tc>
          <w:tcPr>
            <w:tcW w:w="3192" w:type="dxa"/>
          </w:tcPr>
          <w:p w:rsidR="00CA2F74" w:rsidRDefault="00CA2F74">
            <w:r>
              <w:t>None – must be specified.</w:t>
            </w:r>
          </w:p>
        </w:tc>
      </w:tr>
      <w:tr w:rsidR="0061782A">
        <w:trPr>
          <w:jc w:val="center"/>
        </w:trPr>
        <w:tc>
          <w:tcPr>
            <w:tcW w:w="1600" w:type="dxa"/>
          </w:tcPr>
          <w:p w:rsidR="0061782A" w:rsidRDefault="0061782A" w:rsidP="00CA2F74">
            <w:pPr>
              <w:rPr>
                <w:rStyle w:val="RTiSWDocLiteralText"/>
              </w:rPr>
            </w:pPr>
            <w:proofErr w:type="spellStart"/>
            <w:r>
              <w:rPr>
                <w:rStyle w:val="RTiSWDocLiteralText"/>
              </w:rPr>
              <w:t>PartType</w:t>
            </w:r>
            <w:proofErr w:type="spellEnd"/>
          </w:p>
        </w:tc>
        <w:tc>
          <w:tcPr>
            <w:tcW w:w="4347" w:type="dxa"/>
          </w:tcPr>
          <w:p w:rsidR="0061782A" w:rsidRDefault="0061782A" w:rsidP="00CA2F74">
            <w:r>
              <w:t xml:space="preserve">Indicate the type of features being aggregated and specified by </w:t>
            </w:r>
            <w:proofErr w:type="spellStart"/>
            <w:r>
              <w:rPr>
                <w:rStyle w:val="RTiSWDocLiteralText"/>
              </w:rPr>
              <w:t>PartIDs</w:t>
            </w:r>
            <w:proofErr w:type="spellEnd"/>
            <w:r>
              <w:t>, one of:</w:t>
            </w:r>
          </w:p>
          <w:p w:rsidR="0061782A" w:rsidRDefault="0061782A" w:rsidP="00CA2F74">
            <w:pPr>
              <w:numPr>
                <w:ilvl w:val="0"/>
                <w:numId w:val="1"/>
              </w:numPr>
            </w:pPr>
            <w:r>
              <w:rPr>
                <w:rStyle w:val="RTiSWDocLiteralText"/>
              </w:rPr>
              <w:t>Ditch</w:t>
            </w:r>
            <w:r>
              <w:t xml:space="preserve"> – the </w:t>
            </w:r>
            <w:proofErr w:type="spellStart"/>
            <w:r>
              <w:rPr>
                <w:rStyle w:val="RTiSWDocLiteralText"/>
              </w:rPr>
              <w:t>PartIDs</w:t>
            </w:r>
            <w:proofErr w:type="spellEnd"/>
            <w:r>
              <w:t xml:space="preserve"> </w:t>
            </w:r>
            <w:r w:rsidR="00316092">
              <w:t xml:space="preserve">(ditch WDIDs) </w:t>
            </w:r>
            <w:r>
              <w:t>indicate ditch servi</w:t>
            </w:r>
            <w:r w:rsidR="00316092">
              <w:t xml:space="preserve">ce areas </w:t>
            </w:r>
            <w:r>
              <w:t>supplemented by wells.</w:t>
            </w:r>
          </w:p>
          <w:p w:rsidR="0061782A" w:rsidRDefault="0061782A" w:rsidP="00CA2F74">
            <w:pPr>
              <w:numPr>
                <w:ilvl w:val="0"/>
                <w:numId w:val="1"/>
              </w:numPr>
            </w:pPr>
            <w:r>
              <w:rPr>
                <w:rStyle w:val="RTiSWDocLiteralText"/>
              </w:rPr>
              <w:t>Parcel</w:t>
            </w:r>
            <w:r>
              <w:t xml:space="preserve"> – the </w:t>
            </w:r>
            <w:proofErr w:type="spellStart"/>
            <w:r>
              <w:rPr>
                <w:rStyle w:val="RTiSWDocLiteralText"/>
              </w:rPr>
              <w:t>PartIDs</w:t>
            </w:r>
            <w:proofErr w:type="spellEnd"/>
            <w:r>
              <w:t xml:space="preserve"> </w:t>
            </w:r>
            <w:r w:rsidR="00316092">
              <w:t xml:space="preserve">(parcel numbers from GIS processing) </w:t>
            </w:r>
            <w:r>
              <w:t>indicate parcels irrigated by wells, with no surface water supply.</w:t>
            </w:r>
          </w:p>
          <w:p w:rsidR="0061782A" w:rsidRDefault="0061782A" w:rsidP="006008B1">
            <w:pPr>
              <w:numPr>
                <w:ilvl w:val="0"/>
                <w:numId w:val="1"/>
              </w:numPr>
            </w:pPr>
            <w:r>
              <w:rPr>
                <w:rStyle w:val="RTiSWDocLiteralText"/>
              </w:rPr>
              <w:t>Well</w:t>
            </w:r>
            <w:r>
              <w:t xml:space="preserve"> – the </w:t>
            </w:r>
            <w:proofErr w:type="spellStart"/>
            <w:r>
              <w:rPr>
                <w:rStyle w:val="RTiSWDocLiteralText"/>
              </w:rPr>
              <w:t>PartIDs</w:t>
            </w:r>
            <w:proofErr w:type="spellEnd"/>
            <w:r>
              <w:t xml:space="preserve"> indicate wells (WDIDs</w:t>
            </w:r>
            <w:r w:rsidR="006008B1">
              <w:t xml:space="preserve"> or permit receipts)</w:t>
            </w:r>
            <w:r>
              <w:t>, with no surface water supply.</w:t>
            </w:r>
            <w:r w:rsidR="006008B1">
              <w:t xml:space="preserve">  Include </w:t>
            </w:r>
            <w:bookmarkStart w:id="1" w:name="_GoBack"/>
            <w:r w:rsidR="006008B1" w:rsidRPr="006008B1">
              <w:rPr>
                <w:rStyle w:val="RTiSWDocLiteralText"/>
              </w:rPr>
              <w:t>P:</w:t>
            </w:r>
            <w:bookmarkEnd w:id="1"/>
            <w:r w:rsidR="006008B1">
              <w:t xml:space="preserve"> at the start of receipt identifiers.</w:t>
            </w:r>
          </w:p>
        </w:tc>
        <w:tc>
          <w:tcPr>
            <w:tcW w:w="3192" w:type="dxa"/>
          </w:tcPr>
          <w:p w:rsidR="0061782A" w:rsidRDefault="0061782A" w:rsidP="00CA2F74">
            <w:r>
              <w:t>None – must be specified.</w:t>
            </w:r>
          </w:p>
        </w:tc>
      </w:tr>
      <w:tr w:rsidR="0061782A">
        <w:trPr>
          <w:jc w:val="center"/>
        </w:trPr>
        <w:tc>
          <w:tcPr>
            <w:tcW w:w="1600" w:type="dxa"/>
          </w:tcPr>
          <w:p w:rsidR="0061782A" w:rsidRDefault="0061782A">
            <w:pPr>
              <w:rPr>
                <w:rStyle w:val="RTiSWDocLiteralText"/>
              </w:rPr>
            </w:pPr>
            <w:r>
              <w:rPr>
                <w:rStyle w:val="RTiSWDocLiteralText"/>
              </w:rPr>
              <w:t>Year</w:t>
            </w:r>
          </w:p>
        </w:tc>
        <w:tc>
          <w:tcPr>
            <w:tcW w:w="4347" w:type="dxa"/>
          </w:tcPr>
          <w:p w:rsidR="0061782A" w:rsidRDefault="0061782A">
            <w:r>
              <w:t xml:space="preserve">The year defining the </w:t>
            </w:r>
            <w:r w:rsidR="00B13151">
              <w:t>parcels</w:t>
            </w:r>
            <w:r>
              <w:t>.</w:t>
            </w:r>
          </w:p>
        </w:tc>
        <w:tc>
          <w:tcPr>
            <w:tcW w:w="3192" w:type="dxa"/>
          </w:tcPr>
          <w:p w:rsidR="0061782A" w:rsidRDefault="0061782A">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 </w:t>
            </w:r>
            <w:r w:rsidR="00316092">
              <w:t>identifiers from well matching are specific to the data year.</w:t>
            </w:r>
          </w:p>
        </w:tc>
      </w:tr>
      <w:tr w:rsidR="0061782A">
        <w:trPr>
          <w:jc w:val="center"/>
        </w:trPr>
        <w:tc>
          <w:tcPr>
            <w:tcW w:w="1600" w:type="dxa"/>
          </w:tcPr>
          <w:p w:rsidR="0061782A" w:rsidRDefault="0061782A">
            <w:pPr>
              <w:rPr>
                <w:rStyle w:val="RTiSWDocLiteralText"/>
              </w:rPr>
            </w:pPr>
            <w:proofErr w:type="spellStart"/>
            <w:r>
              <w:rPr>
                <w:rStyle w:val="RTiSWDocLiteralText"/>
              </w:rPr>
              <w:t>Div</w:t>
            </w:r>
            <w:proofErr w:type="spellEnd"/>
          </w:p>
        </w:tc>
        <w:tc>
          <w:tcPr>
            <w:tcW w:w="4347" w:type="dxa"/>
          </w:tcPr>
          <w:p w:rsidR="0061782A" w:rsidRDefault="0061782A">
            <w:r>
              <w:t>Water division for the parcels in the aggregate.</w:t>
            </w:r>
          </w:p>
        </w:tc>
        <w:tc>
          <w:tcPr>
            <w:tcW w:w="3192" w:type="dxa"/>
          </w:tcPr>
          <w:p w:rsidR="0061782A" w:rsidRDefault="0061782A">
            <w:bookmarkStart w:id="2" w:name="OLE_LINK1"/>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parcels require the division.</w:t>
            </w:r>
            <w:bookmarkEnd w:id="2"/>
          </w:p>
        </w:tc>
      </w:tr>
      <w:tr w:rsidR="0061782A">
        <w:trPr>
          <w:jc w:val="center"/>
        </w:trPr>
        <w:tc>
          <w:tcPr>
            <w:tcW w:w="1600" w:type="dxa"/>
          </w:tcPr>
          <w:p w:rsidR="0061782A" w:rsidRDefault="0061782A">
            <w:pPr>
              <w:rPr>
                <w:rStyle w:val="RTiSWDocLiteralText"/>
              </w:rPr>
            </w:pPr>
            <w:proofErr w:type="spellStart"/>
            <w:r>
              <w:rPr>
                <w:rStyle w:val="RTiSWDocLiteralText"/>
              </w:rPr>
              <w:t>PartIDs</w:t>
            </w:r>
            <w:proofErr w:type="spellEnd"/>
          </w:p>
        </w:tc>
        <w:tc>
          <w:tcPr>
            <w:tcW w:w="4347" w:type="dxa"/>
          </w:tcPr>
          <w:p w:rsidR="0061782A" w:rsidRDefault="0061782A">
            <w:r>
              <w:t xml:space="preserve">The list of part identifiers to comprise the aggregate.  See the </w:t>
            </w:r>
            <w:proofErr w:type="spellStart"/>
            <w:r w:rsidRPr="0061782A">
              <w:rPr>
                <w:rStyle w:val="RTiSWDocLiteralText"/>
              </w:rPr>
              <w:t>PartType</w:t>
            </w:r>
            <w:proofErr w:type="spellEnd"/>
            <w:r>
              <w:t xml:space="preserve"> description above.</w:t>
            </w:r>
          </w:p>
        </w:tc>
        <w:tc>
          <w:tcPr>
            <w:tcW w:w="3192" w:type="dxa"/>
          </w:tcPr>
          <w:p w:rsidR="0061782A" w:rsidRDefault="0061782A">
            <w:r>
              <w:t>None – must be specified.</w:t>
            </w:r>
          </w:p>
        </w:tc>
      </w:tr>
      <w:tr w:rsidR="0061782A">
        <w:trPr>
          <w:jc w:val="center"/>
        </w:trPr>
        <w:tc>
          <w:tcPr>
            <w:tcW w:w="1600" w:type="dxa"/>
          </w:tcPr>
          <w:p w:rsidR="0061782A" w:rsidRDefault="0061782A" w:rsidP="00CA2F74">
            <w:pPr>
              <w:rPr>
                <w:rStyle w:val="RTiSWDocLiteralText"/>
              </w:rPr>
            </w:pPr>
            <w:proofErr w:type="spellStart"/>
            <w:r>
              <w:rPr>
                <w:rStyle w:val="RTiSWDocLiteralText"/>
              </w:rPr>
              <w:t>IfNotFound</w:t>
            </w:r>
            <w:proofErr w:type="spellEnd"/>
          </w:p>
        </w:tc>
        <w:tc>
          <w:tcPr>
            <w:tcW w:w="4347" w:type="dxa"/>
          </w:tcPr>
          <w:p w:rsidR="0061782A" w:rsidRDefault="0061782A" w:rsidP="00CA2F74">
            <w:r>
              <w:t>Used for error handling, one of the following:</w:t>
            </w:r>
          </w:p>
          <w:p w:rsidR="0061782A" w:rsidRDefault="0061782A" w:rsidP="00CA2F74">
            <w:pPr>
              <w:numPr>
                <w:ilvl w:val="0"/>
                <w:numId w:val="3"/>
              </w:numPr>
            </w:pPr>
            <w:r>
              <w:rPr>
                <w:rStyle w:val="RTiSWDocLiteralText"/>
              </w:rPr>
              <w:t>Fail</w:t>
            </w:r>
            <w:r>
              <w:t xml:space="preserve"> – generate a failure message if the identifier is not matched</w:t>
            </w:r>
          </w:p>
          <w:p w:rsidR="0061782A" w:rsidRDefault="0061782A" w:rsidP="00CA2F74">
            <w:pPr>
              <w:numPr>
                <w:ilvl w:val="0"/>
                <w:numId w:val="3"/>
              </w:numPr>
            </w:pPr>
            <w:r>
              <w:rPr>
                <w:rStyle w:val="RTiSWDocLiteralText"/>
              </w:rPr>
              <w:t>Ignore</w:t>
            </w:r>
            <w:r>
              <w:t xml:space="preserve"> – ignore (don’t add and don’t generate a message) if the identifier is not matched</w:t>
            </w:r>
          </w:p>
          <w:p w:rsidR="0061782A" w:rsidRDefault="0061782A" w:rsidP="00CA2F74">
            <w:pPr>
              <w:numPr>
                <w:ilvl w:val="0"/>
                <w:numId w:val="3"/>
              </w:numPr>
            </w:pPr>
            <w:r>
              <w:rPr>
                <w:rStyle w:val="RTiSWDocLiteralText"/>
              </w:rPr>
              <w:t>Warn</w:t>
            </w:r>
            <w:r>
              <w:t xml:space="preserve"> – generate a warning message if the identifier is not matched</w:t>
            </w:r>
          </w:p>
        </w:tc>
        <w:tc>
          <w:tcPr>
            <w:tcW w:w="3192" w:type="dxa"/>
          </w:tcPr>
          <w:p w:rsidR="0061782A" w:rsidRDefault="0061782A" w:rsidP="00CA2F74">
            <w:pPr>
              <w:rPr>
                <w:rStyle w:val="RTiSWDocLiteralText"/>
              </w:rPr>
            </w:pPr>
            <w:r>
              <w:rPr>
                <w:rStyle w:val="RTiSWDocLiteralText"/>
              </w:rPr>
              <w:t>Warn</w:t>
            </w:r>
          </w:p>
        </w:tc>
      </w:tr>
      <w:bookmarkEnd w:id="0"/>
    </w:tbl>
    <w:p w:rsidR="00CA2F74" w:rsidRDefault="00CA2F74">
      <w:pPr>
        <w:rPr>
          <w:color w:val="C0C0C0"/>
        </w:rPr>
      </w:pPr>
    </w:p>
    <w:p w:rsidR="0061782A" w:rsidRDefault="0061782A">
      <w:pPr>
        <w:rPr>
          <w:color w:val="C0C0C0"/>
        </w:rPr>
      </w:pPr>
    </w:p>
    <w:p w:rsidR="0061782A" w:rsidRDefault="0061782A">
      <w:pPr>
        <w:rPr>
          <w:color w:val="C0C0C0"/>
        </w:rPr>
      </w:pPr>
      <w:r>
        <w:rPr>
          <w:color w:val="C0C0C0"/>
        </w:rPr>
        <w:br w:type="page"/>
      </w:r>
    </w:p>
    <w:p w:rsidR="0061782A" w:rsidRDefault="0061782A">
      <w:pPr>
        <w:rPr>
          <w:color w:val="C0C0C0"/>
        </w:rPr>
      </w:pPr>
    </w:p>
    <w:p w:rsidR="0061782A" w:rsidRDefault="0061782A" w:rsidP="0061782A">
      <w:pPr>
        <w:jc w:val="center"/>
        <w:rPr>
          <w:color w:val="C0C0C0"/>
        </w:rPr>
      </w:pPr>
      <w:r>
        <w:rPr>
          <w:color w:val="C0C0C0"/>
        </w:rPr>
        <w:t>This page is intentionally blank.</w:t>
      </w:r>
    </w:p>
    <w:sectPr w:rsidR="0061782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FF8" w:rsidRDefault="00797FF8">
      <w:r>
        <w:separator/>
      </w:r>
    </w:p>
  </w:endnote>
  <w:endnote w:type="continuationSeparator" w:id="0">
    <w:p w:rsidR="00797FF8" w:rsidRDefault="0079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CA2F74">
    <w:pPr>
      <w:pStyle w:val="RTiSWDocFooter"/>
    </w:pPr>
    <w:r>
      <w:rPr>
        <w:rFonts w:cs="Arial"/>
      </w:rPr>
      <w:fldChar w:fldCharType="begin"/>
    </w:r>
    <w:r>
      <w:rPr>
        <w:rFonts w:cs="Arial"/>
      </w:rPr>
      <w:instrText xml:space="preserve"> PAGE </w:instrText>
    </w:r>
    <w:r>
      <w:rPr>
        <w:rFonts w:cs="Arial"/>
      </w:rPr>
      <w:fldChar w:fldCharType="separate"/>
    </w:r>
    <w:r w:rsidR="006008B1">
      <w:rPr>
        <w:rFonts w:cs="Arial"/>
        <w:noProof/>
      </w:rPr>
      <w:t>4</w:t>
    </w:r>
    <w:r>
      <w:rPr>
        <w:rFonts w:cs="Arial"/>
      </w:rPr>
      <w:fldChar w:fldCharType="end"/>
    </w:r>
    <w:r w:rsidR="0061782A">
      <w:t xml:space="preserve"> - Command Reference – </w:t>
    </w:r>
    <w:proofErr w:type="spellStart"/>
    <w:r w:rsidR="0061782A">
      <w:t>S</w:t>
    </w:r>
    <w:r>
      <w:t>etWellAggregate</w:t>
    </w:r>
    <w:proofErr w:type="spellEnd"/>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CA2F74" w:rsidP="0061782A">
    <w:pPr>
      <w:pStyle w:val="RTiSWDocFooter"/>
    </w:pPr>
    <w:r>
      <w:tab/>
      <w:t>Command Referenc</w:t>
    </w:r>
    <w:r w:rsidR="0061782A">
      <w:t xml:space="preserve">e – </w:t>
    </w:r>
    <w:proofErr w:type="spellStart"/>
    <w:proofErr w:type="gramStart"/>
    <w:r w:rsidR="0061782A">
      <w:t>SetWellAggregate</w:t>
    </w:r>
    <w:proofErr w:type="spellEnd"/>
    <w:r>
      <w:t>(</w:t>
    </w:r>
    <w:proofErr w:type="gramEnd"/>
    <w:r>
      <w:t xml:space="preserve">) - </w:t>
    </w:r>
    <w:r>
      <w:fldChar w:fldCharType="begin"/>
    </w:r>
    <w:r>
      <w:instrText xml:space="preserve"> PAGE </w:instrText>
    </w:r>
    <w:r>
      <w:fldChar w:fldCharType="separate"/>
    </w:r>
    <w:r w:rsidR="006008B1">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61782A">
    <w:pPr>
      <w:pStyle w:val="RTiSWDocFooter"/>
    </w:pPr>
    <w:r>
      <w:tab/>
      <w:t xml:space="preserve">Command Reference – </w:t>
    </w:r>
    <w:proofErr w:type="spellStart"/>
    <w:proofErr w:type="gramStart"/>
    <w:r>
      <w:t>S</w:t>
    </w:r>
    <w:r w:rsidR="00CA2F74">
      <w:t>etWellAggregate</w:t>
    </w:r>
    <w:proofErr w:type="spellEnd"/>
    <w:r w:rsidR="00CA2F74">
      <w:t>(</w:t>
    </w:r>
    <w:proofErr w:type="gramEnd"/>
    <w:r w:rsidR="00CA2F74">
      <w:t xml:space="preserve">) - </w:t>
    </w:r>
    <w:r w:rsidR="00CA2F74">
      <w:fldChar w:fldCharType="begin"/>
    </w:r>
    <w:r w:rsidR="00CA2F74">
      <w:instrText xml:space="preserve"> PAGE </w:instrText>
    </w:r>
    <w:r w:rsidR="00CA2F74">
      <w:fldChar w:fldCharType="separate"/>
    </w:r>
    <w:r w:rsidR="006008B1">
      <w:rPr>
        <w:noProof/>
      </w:rPr>
      <w:t>1</w:t>
    </w:r>
    <w:r w:rsidR="00CA2F7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FF8" w:rsidRDefault="00797FF8">
      <w:r>
        <w:separator/>
      </w:r>
    </w:p>
  </w:footnote>
  <w:footnote w:type="continuationSeparator" w:id="0">
    <w:p w:rsidR="00797FF8" w:rsidRDefault="00797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61782A">
    <w:pPr>
      <w:pStyle w:val="RTiSWDocHeader"/>
    </w:pPr>
    <w:proofErr w:type="spellStart"/>
    <w:proofErr w:type="gramStart"/>
    <w:r>
      <w:t>S</w:t>
    </w:r>
    <w:r w:rsidR="00CA2F74">
      <w:t>etWellAggregate</w:t>
    </w:r>
    <w:proofErr w:type="spellEnd"/>
    <w:r w:rsidR="00CA2F74">
      <w:t>(</w:t>
    </w:r>
    <w:proofErr w:type="gramEnd"/>
    <w:r w:rsidR="00CA2F74">
      <w:t>) Command</w:t>
    </w:r>
    <w:r w:rsidR="00CA2F74">
      <w:tab/>
    </w:r>
    <w:proofErr w:type="spellStart"/>
    <w:r w:rsidR="00CA2F74">
      <w:t>StateDMI</w:t>
    </w:r>
    <w:proofErr w:type="spellEnd"/>
    <w:r w:rsidR="00CA2F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61782A" w:rsidP="0061782A">
    <w:pPr>
      <w:pStyle w:val="RTiSWDocHeader"/>
    </w:pPr>
    <w:proofErr w:type="spellStart"/>
    <w:r>
      <w:t>StateDMI</w:t>
    </w:r>
    <w:proofErr w:type="spellEnd"/>
    <w:r w:rsidR="00CA2F74">
      <w:t xml:space="preserve"> Documentation</w:t>
    </w:r>
    <w:r w:rsidR="00CA2F74">
      <w:tab/>
    </w:r>
    <w:proofErr w:type="spellStart"/>
    <w:proofErr w:type="gramStart"/>
    <w:r>
      <w:t>SetWellAggregate</w:t>
    </w:r>
    <w:proofErr w:type="spellEnd"/>
    <w:r w:rsidR="00CA2F74">
      <w:t>(</w:t>
    </w:r>
    <w:proofErr w:type="gramEnd"/>
    <w:r w:rsidR="00CA2F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4" w:rsidRDefault="00CA2F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65E0"/>
    <w:multiLevelType w:val="hybridMultilevel"/>
    <w:tmpl w:val="1CC0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C25089"/>
    <w:multiLevelType w:val="hybridMultilevel"/>
    <w:tmpl w:val="AD762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79A68D3"/>
    <w:multiLevelType w:val="hybridMultilevel"/>
    <w:tmpl w:val="505438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82"/>
    <w:rsid w:val="000A6E40"/>
    <w:rsid w:val="00286AE8"/>
    <w:rsid w:val="00316092"/>
    <w:rsid w:val="00357AF6"/>
    <w:rsid w:val="00466AD3"/>
    <w:rsid w:val="006008B1"/>
    <w:rsid w:val="0061782A"/>
    <w:rsid w:val="00627DFA"/>
    <w:rsid w:val="00707B95"/>
    <w:rsid w:val="00797FF8"/>
    <w:rsid w:val="008D4067"/>
    <w:rsid w:val="00AC7E82"/>
    <w:rsid w:val="00B13151"/>
    <w:rsid w:val="00B56159"/>
    <w:rsid w:val="00CA2F74"/>
    <w:rsid w:val="00E121A2"/>
    <w:rsid w:val="00FB2938"/>
    <w:rsid w:val="00FE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0DD591-0797-4766-836A-F3BFD0F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357AF6"/>
    <w:rPr>
      <w:rFonts w:ascii="Courier New" w:hAnsi="Courier New"/>
      <w:sz w:val="22"/>
    </w:rPr>
  </w:style>
  <w:style w:type="character" w:customStyle="1" w:styleId="RTiSWDocLiteralTextInput">
    <w:name w:val="RTi SW Doc Literal Text Input"/>
    <w:basedOn w:val="DefaultParagraphFont"/>
    <w:rsid w:val="00357AF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B1315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Open Water Foundation</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3</cp:revision>
  <cp:lastPrinted>2004-04-01T08:15:00Z</cp:lastPrinted>
  <dcterms:created xsi:type="dcterms:W3CDTF">2016-05-19T22:19:00Z</dcterms:created>
  <dcterms:modified xsi:type="dcterms:W3CDTF">2016-05-19T22:31:00Z</dcterms:modified>
</cp:coreProperties>
</file>