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71BB" w:rsidRDefault="005971BB">
      <w:pPr>
        <w:pStyle w:val="RTiSWDocChapterTitle"/>
      </w:pPr>
      <w:r>
        <w:t xml:space="preserve">Command Reference: </w:t>
      </w:r>
      <w:r w:rsidR="00507C6B">
        <w:t xml:space="preserve"> </w:t>
      </w:r>
      <w:proofErr w:type="spellStart"/>
      <w:proofErr w:type="gramStart"/>
      <w:r w:rsidR="00507C6B">
        <w:t>C</w:t>
      </w:r>
      <w:r>
        <w:t>ompareFiles</w:t>
      </w:r>
      <w:proofErr w:type="spellEnd"/>
      <w:r>
        <w:t>()</w:t>
      </w:r>
      <w:proofErr w:type="gramEnd"/>
    </w:p>
    <w:p w:rsidR="005971BB" w:rsidRDefault="005971BB">
      <w:pPr>
        <w:pStyle w:val="RTiSWDocChapterSubtitle"/>
      </w:pPr>
      <w:r>
        <w:t>Compare text files to determine whether they are different</w:t>
      </w:r>
    </w:p>
    <w:p w:rsidR="005971BB" w:rsidRDefault="005971BB">
      <w:pPr>
        <w:pStyle w:val="RTiSWDocNote"/>
      </w:pPr>
      <w:r>
        <w:t xml:space="preserve">Version </w:t>
      </w:r>
      <w:r w:rsidR="00DE4720">
        <w:t>1</w:t>
      </w:r>
      <w:r w:rsidR="00F53F08">
        <w:t>1</w:t>
      </w:r>
      <w:r>
        <w:t>.</w:t>
      </w:r>
      <w:r w:rsidR="00F53F08">
        <w:t>0</w:t>
      </w:r>
      <w:r w:rsidR="00020390">
        <w:t>9</w:t>
      </w:r>
      <w:r>
        <w:t>.0</w:t>
      </w:r>
      <w:r w:rsidR="00DE4720">
        <w:t>0</w:t>
      </w:r>
      <w:r>
        <w:t>, 20</w:t>
      </w:r>
      <w:r w:rsidR="00295BBF">
        <w:t>1</w:t>
      </w:r>
      <w:r w:rsidR="00020390">
        <w:t>6</w:t>
      </w:r>
      <w:r w:rsidR="00A75B25">
        <w:t>-</w:t>
      </w:r>
      <w:r w:rsidR="00C937DF">
        <w:t>0</w:t>
      </w:r>
      <w:r w:rsidR="00020390">
        <w:t>2</w:t>
      </w:r>
      <w:r>
        <w:t>-</w:t>
      </w:r>
      <w:r w:rsidR="00020390">
        <w:t>23</w:t>
      </w:r>
    </w:p>
    <w:p w:rsidR="005971BB" w:rsidRDefault="005971BB">
      <w:pPr>
        <w:numPr>
          <w:ilvl w:val="12"/>
          <w:numId w:val="0"/>
        </w:numPr>
      </w:pPr>
    </w:p>
    <w:p w:rsidR="005971BB" w:rsidRDefault="005971BB">
      <w:r>
        <w:t xml:space="preserve">The </w:t>
      </w:r>
      <w:proofErr w:type="spellStart"/>
      <w:proofErr w:type="gramStart"/>
      <w:r w:rsidR="00507C6B">
        <w:rPr>
          <w:rStyle w:val="RTiSWDocLiteralText"/>
        </w:rPr>
        <w:t>C</w:t>
      </w:r>
      <w:r>
        <w:rPr>
          <w:rStyle w:val="RTiSWDocLiteralText"/>
        </w:rPr>
        <w:t>ompareFiles</w:t>
      </w:r>
      <w:proofErr w:type="spellEnd"/>
      <w:r>
        <w:rPr>
          <w:rStyle w:val="RTiSWDocLiteralText"/>
        </w:rPr>
        <w:t>(</w:t>
      </w:r>
      <w:proofErr w:type="gramEnd"/>
      <w:r>
        <w:rPr>
          <w:rStyle w:val="RTiSWDocLiteralText"/>
        </w:rPr>
        <w:t>)</w:t>
      </w:r>
      <w:r>
        <w:t xml:space="preserve"> command compares text files to determine differences.  For example, the command can be used to compare old and new files produced by a software process.</w:t>
      </w:r>
      <w:r w:rsidR="005B58B3">
        <w:t xml:space="preserve">  This command is suitable for comparing files that are similar, but is not suitable for comparing files that are very different, although it may be enhanced in the future to provide more sophisticated comparison features.</w:t>
      </w:r>
    </w:p>
    <w:p w:rsidR="005971BB" w:rsidRDefault="005971BB">
      <w:pPr>
        <w:numPr>
          <w:ilvl w:val="12"/>
          <w:numId w:val="0"/>
        </w:numPr>
      </w:pPr>
    </w:p>
    <w:p w:rsidR="005971BB" w:rsidRDefault="005971BB">
      <w:pPr>
        <w:numPr>
          <w:ilvl w:val="12"/>
          <w:numId w:val="0"/>
        </w:numPr>
      </w:pPr>
      <w:r>
        <w:t xml:space="preserve">Each line in the file is compared.  </w:t>
      </w:r>
      <w:r w:rsidR="00A75B25">
        <w:t>By default, l</w:t>
      </w:r>
      <w:r>
        <w:t xml:space="preserve">ines beginning with </w:t>
      </w:r>
      <w:r w:rsidRPr="00DE4720">
        <w:rPr>
          <w:rStyle w:val="RTiSWDocLiteralTextInput"/>
        </w:rPr>
        <w:t>#</w:t>
      </w:r>
      <w:r>
        <w:t xml:space="preserve"> are treated as comment lines and are ignored</w:t>
      </w:r>
      <w:r w:rsidR="00A75B25">
        <w:t xml:space="preserve"> (see </w:t>
      </w:r>
      <w:proofErr w:type="spellStart"/>
      <w:r w:rsidR="00A75B25" w:rsidRPr="00A75B25">
        <w:rPr>
          <w:rStyle w:val="RTiSWDocLiteralText"/>
        </w:rPr>
        <w:t>Comm</w:t>
      </w:r>
      <w:r w:rsidR="00A75B25">
        <w:rPr>
          <w:rStyle w:val="RTiSWDocLiteralText"/>
        </w:rPr>
        <w:t>ent</w:t>
      </w:r>
      <w:r w:rsidR="00A75B25" w:rsidRPr="00A75B25">
        <w:rPr>
          <w:rStyle w:val="RTiSWDocLiteralText"/>
        </w:rPr>
        <w:t>LineChar</w:t>
      </w:r>
      <w:proofErr w:type="spellEnd"/>
      <w:r w:rsidR="00A75B25">
        <w:t xml:space="preserve"> to specify the comment indicator)</w:t>
      </w:r>
      <w:r>
        <w:t xml:space="preserve">.  Therefore, only non-comment lines are compared.  </w:t>
      </w:r>
      <w:r w:rsidR="005B58B3">
        <w:t xml:space="preserve">Comment lines in the middle of the file are simply discarded.  </w:t>
      </w:r>
      <w:r>
        <w:t xml:space="preserve">Differences and simple statistics are printed to the log file.  A warning can be generated if a difference is detected or if no differences are detected (see also the </w:t>
      </w:r>
      <w:proofErr w:type="spellStart"/>
      <w:proofErr w:type="gramStart"/>
      <w:r w:rsidR="00507C6B">
        <w:rPr>
          <w:rStyle w:val="RTiSWDocLiteralText"/>
        </w:rPr>
        <w:t>C</w:t>
      </w:r>
      <w:r>
        <w:rPr>
          <w:rStyle w:val="RTiSWDocLiteralText"/>
        </w:rPr>
        <w:t>ompareTimeSeries</w:t>
      </w:r>
      <w:proofErr w:type="spellEnd"/>
      <w:r>
        <w:rPr>
          <w:rStyle w:val="RTiSWDocLiteralText"/>
        </w:rPr>
        <w:t>(</w:t>
      </w:r>
      <w:proofErr w:type="gramEnd"/>
      <w:r>
        <w:rPr>
          <w:rStyle w:val="RTiSWDocLiteralText"/>
        </w:rPr>
        <w:t>)</w:t>
      </w:r>
      <w:r w:rsidR="007843DC">
        <w:rPr>
          <w:rStyle w:val="RTiSWDocLiteralText"/>
        </w:rPr>
        <w:t xml:space="preserve">and </w:t>
      </w:r>
      <w:proofErr w:type="spellStart"/>
      <w:r w:rsidR="007843DC">
        <w:rPr>
          <w:rStyle w:val="RTiSWDocLiteralText"/>
        </w:rPr>
        <w:t>CompareTables</w:t>
      </w:r>
      <w:proofErr w:type="spellEnd"/>
      <w:r w:rsidR="007843DC">
        <w:rPr>
          <w:rStyle w:val="RTiSWDocLiteralText"/>
        </w:rPr>
        <w:t xml:space="preserve">() </w:t>
      </w:r>
      <w:r>
        <w:t>command</w:t>
      </w:r>
      <w:r w:rsidR="007843DC">
        <w:t>s</w:t>
      </w:r>
      <w:r>
        <w:t>).</w:t>
      </w:r>
    </w:p>
    <w:p w:rsidR="005971BB" w:rsidRDefault="005971BB">
      <w:pPr>
        <w:numPr>
          <w:ilvl w:val="12"/>
          <w:numId w:val="0"/>
        </w:numPr>
      </w:pPr>
    </w:p>
    <w:p w:rsidR="005971BB" w:rsidRDefault="005971BB">
      <w:pPr>
        <w:numPr>
          <w:ilvl w:val="12"/>
          <w:numId w:val="0"/>
        </w:numPr>
      </w:pPr>
      <w:r>
        <w:t>The following dialog is used to edit the command and illustrates the syntax for the command.</w:t>
      </w:r>
      <w:r w:rsidR="00B870EE">
        <w:t xml:space="preserve">  If the </w:t>
      </w:r>
      <w:proofErr w:type="spellStart"/>
      <w:r w:rsidR="00B870EE" w:rsidRPr="00B870EE">
        <w:rPr>
          <w:rStyle w:val="RTiSWDocLiteralText"/>
        </w:rPr>
        <w:t>DiffProgram</w:t>
      </w:r>
      <w:proofErr w:type="spellEnd"/>
      <w:r w:rsidR="00B870EE">
        <w:t xml:space="preserve"> property has been defined in the </w:t>
      </w:r>
      <w:proofErr w:type="spellStart"/>
      <w:r w:rsidR="00B870EE">
        <w:t>TSTool</w:t>
      </w:r>
      <w:proofErr w:type="spellEnd"/>
      <w:r w:rsidR="00B870EE">
        <w:t xml:space="preserve"> configuration file and both files exist, the </w:t>
      </w:r>
      <w:r w:rsidR="00B870EE" w:rsidRPr="00B870EE">
        <w:rPr>
          <w:rStyle w:val="RTiSWDocGUIReference"/>
        </w:rPr>
        <w:t>View Diff</w:t>
      </w:r>
      <w:r w:rsidR="00B870EE">
        <w:t xml:space="preserve"> button will be enabled to display a visual difference.  The KDiff3 software is one option for a visual difference program.</w:t>
      </w:r>
    </w:p>
    <w:p w:rsidR="005971BB" w:rsidRDefault="005971BB">
      <w:pPr>
        <w:numPr>
          <w:ilvl w:val="12"/>
          <w:numId w:val="0"/>
        </w:numPr>
      </w:pPr>
    </w:p>
    <w:p w:rsidR="005971BB" w:rsidRDefault="00020390">
      <w:pPr>
        <w:numPr>
          <w:ilvl w:val="12"/>
          <w:numId w:val="0"/>
        </w:numPr>
        <w:jc w:val="center"/>
      </w:pPr>
      <w:r>
        <w:rPr>
          <w:noProof/>
        </w:rPr>
        <w:drawing>
          <wp:inline distT="0" distB="0" distL="0" distR="0">
            <wp:extent cx="5943600" cy="3308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CompareFil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inline>
        </w:drawing>
      </w:r>
    </w:p>
    <w:p w:rsidR="005971BB" w:rsidRDefault="00507C6B">
      <w:pPr>
        <w:pStyle w:val="RTiSWDocNote"/>
      </w:pPr>
      <w:proofErr w:type="spellStart"/>
      <w:r>
        <w:t>C</w:t>
      </w:r>
      <w:r w:rsidR="005971BB">
        <w:t>ompareFiles</w:t>
      </w:r>
      <w:proofErr w:type="spellEnd"/>
    </w:p>
    <w:p w:rsidR="005971BB" w:rsidRDefault="00507C6B">
      <w:pPr>
        <w:pStyle w:val="RTiSWDocFigureTableTitle"/>
      </w:pPr>
      <w:proofErr w:type="spellStart"/>
      <w:proofErr w:type="gramStart"/>
      <w:r>
        <w:t>C</w:t>
      </w:r>
      <w:r w:rsidR="005971BB">
        <w:t>ompareFiles</w:t>
      </w:r>
      <w:proofErr w:type="spellEnd"/>
      <w:r w:rsidR="005971BB">
        <w:t>(</w:t>
      </w:r>
      <w:proofErr w:type="gramEnd"/>
      <w:r w:rsidR="005971BB">
        <w:t>) Command Editor</w:t>
      </w:r>
    </w:p>
    <w:p w:rsidR="005971BB" w:rsidRDefault="005971BB">
      <w:pPr>
        <w:numPr>
          <w:ilvl w:val="12"/>
          <w:numId w:val="0"/>
        </w:numPr>
      </w:pPr>
      <w:bookmarkStart w:id="0" w:name="replaceValue"/>
    </w:p>
    <w:p w:rsidR="005971BB" w:rsidRDefault="005971BB">
      <w:r>
        <w:br w:type="page"/>
      </w:r>
      <w:r>
        <w:lastRenderedPageBreak/>
        <w:t>The command syntax is as follows:</w:t>
      </w:r>
    </w:p>
    <w:p w:rsidR="005971BB" w:rsidRDefault="005971BB"/>
    <w:p w:rsidR="005971BB" w:rsidRDefault="00507C6B">
      <w:pPr>
        <w:ind w:left="720"/>
        <w:rPr>
          <w:rStyle w:val="RTiSWDocLiteralText"/>
        </w:rPr>
      </w:pPr>
      <w:proofErr w:type="spellStart"/>
      <w:proofErr w:type="gramStart"/>
      <w:r>
        <w:rPr>
          <w:rStyle w:val="RTiSWDocLiteralText"/>
        </w:rPr>
        <w:t>C</w:t>
      </w:r>
      <w:r w:rsidR="005971BB">
        <w:rPr>
          <w:rStyle w:val="RTiSWDocLiteralText"/>
        </w:rPr>
        <w:t>ompareFiles</w:t>
      </w:r>
      <w:proofErr w:type="spellEnd"/>
      <w:r w:rsidR="005971BB">
        <w:rPr>
          <w:rStyle w:val="RTiSWDocLiteralText"/>
        </w:rPr>
        <w:t>(</w:t>
      </w:r>
      <w:proofErr w:type="gramEnd"/>
      <w:r>
        <w:rPr>
          <w:rStyle w:val="RTiSWDocLiteralText"/>
        </w:rPr>
        <w:t>P</w:t>
      </w:r>
      <w:r w:rsidR="005971BB">
        <w:rPr>
          <w:rStyle w:val="RTiSWDocLiteralText"/>
        </w:rPr>
        <w:t>aram</w:t>
      </w:r>
      <w:r>
        <w:rPr>
          <w:rStyle w:val="RTiSWDocLiteralText"/>
        </w:rPr>
        <w:t>eter</w:t>
      </w:r>
      <w:r w:rsidR="005971BB">
        <w:rPr>
          <w:rStyle w:val="RTiSWDocLiteralText"/>
        </w:rPr>
        <w:t>=</w:t>
      </w:r>
      <w:r>
        <w:rPr>
          <w:rStyle w:val="RTiSWDocLiteralText"/>
        </w:rPr>
        <w:t>V</w:t>
      </w:r>
      <w:r w:rsidR="005971BB">
        <w:rPr>
          <w:rStyle w:val="RTiSWDocLiteralText"/>
        </w:rPr>
        <w:t>alue,…)</w:t>
      </w:r>
    </w:p>
    <w:p w:rsidR="005971BB" w:rsidRDefault="005971BB"/>
    <w:p w:rsidR="005971BB" w:rsidRDefault="005971BB">
      <w:pPr>
        <w:pStyle w:val="RTiSWDocFigureTableTitle"/>
      </w:pPr>
      <w:r>
        <w:t>Command Parameters</w:t>
      </w:r>
    </w:p>
    <w:p w:rsidR="005971BB" w:rsidRDefault="005971B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9"/>
        <w:gridCol w:w="4993"/>
        <w:gridCol w:w="2028"/>
      </w:tblGrid>
      <w:tr w:rsidR="005971BB">
        <w:trPr>
          <w:jc w:val="center"/>
        </w:trPr>
        <w:tc>
          <w:tcPr>
            <w:tcW w:w="2197" w:type="dxa"/>
            <w:shd w:val="clear" w:color="auto" w:fill="C0C0C0"/>
          </w:tcPr>
          <w:p w:rsidR="005971BB" w:rsidRDefault="005971BB">
            <w:pPr>
              <w:pStyle w:val="RTiSWDocTableHeading"/>
            </w:pPr>
            <w:r>
              <w:t>Parameter</w:t>
            </w:r>
          </w:p>
        </w:tc>
        <w:tc>
          <w:tcPr>
            <w:tcW w:w="5283" w:type="dxa"/>
            <w:shd w:val="clear" w:color="auto" w:fill="C0C0C0"/>
          </w:tcPr>
          <w:p w:rsidR="005971BB" w:rsidRDefault="005971BB">
            <w:pPr>
              <w:pStyle w:val="RTiSWDocTableHeading"/>
            </w:pPr>
            <w:r>
              <w:t>Description</w:t>
            </w:r>
          </w:p>
        </w:tc>
        <w:tc>
          <w:tcPr>
            <w:tcW w:w="2096" w:type="dxa"/>
            <w:shd w:val="clear" w:color="auto" w:fill="C0C0C0"/>
          </w:tcPr>
          <w:p w:rsidR="005971BB" w:rsidRDefault="005971BB">
            <w:pPr>
              <w:pStyle w:val="RTiSWDocTableHeading"/>
            </w:pPr>
            <w:r>
              <w:t>Default</w:t>
            </w:r>
          </w:p>
        </w:tc>
      </w:tr>
      <w:tr w:rsidR="005971BB">
        <w:trPr>
          <w:jc w:val="center"/>
        </w:trPr>
        <w:tc>
          <w:tcPr>
            <w:tcW w:w="2197" w:type="dxa"/>
          </w:tcPr>
          <w:p w:rsidR="005971BB" w:rsidRDefault="005971BB">
            <w:pPr>
              <w:rPr>
                <w:rStyle w:val="RTiSWDocLiteralText"/>
              </w:rPr>
            </w:pPr>
            <w:r>
              <w:rPr>
                <w:rStyle w:val="RTiSWDocLiteralText"/>
              </w:rPr>
              <w:t>InputFile1</w:t>
            </w:r>
          </w:p>
        </w:tc>
        <w:tc>
          <w:tcPr>
            <w:tcW w:w="5283" w:type="dxa"/>
          </w:tcPr>
          <w:p w:rsidR="005971BB" w:rsidRDefault="005971BB" w:rsidP="00020390">
            <w:r>
              <w:t>The name of the first file to read.  Enclose the name in double quotes to protect whitespace and special characters.</w:t>
            </w:r>
            <w:r w:rsidR="00DE4720">
              <w:t xml:space="preserve">  </w:t>
            </w:r>
            <w:r w:rsidR="00020390">
              <w:t>Can be specified</w:t>
            </w:r>
            <w:r w:rsidR="00DE4720">
              <w:t xml:space="preserve"> with the </w:t>
            </w:r>
            <w:r w:rsidR="00DE4720" w:rsidRPr="00DE4720">
              <w:rPr>
                <w:rStyle w:val="RTiSWDocLiteralText"/>
              </w:rPr>
              <w:t>${Property}</w:t>
            </w:r>
            <w:r w:rsidR="00DE4720">
              <w:t xml:space="preserve"> syntax.</w:t>
            </w:r>
          </w:p>
        </w:tc>
        <w:tc>
          <w:tcPr>
            <w:tcW w:w="2096" w:type="dxa"/>
          </w:tcPr>
          <w:p w:rsidR="005971BB" w:rsidRDefault="005971BB">
            <w:r>
              <w:t>None – the file name is required.</w:t>
            </w:r>
          </w:p>
        </w:tc>
      </w:tr>
      <w:tr w:rsidR="005971BB">
        <w:trPr>
          <w:jc w:val="center"/>
        </w:trPr>
        <w:tc>
          <w:tcPr>
            <w:tcW w:w="2197" w:type="dxa"/>
          </w:tcPr>
          <w:p w:rsidR="005971BB" w:rsidRDefault="005971BB">
            <w:pPr>
              <w:rPr>
                <w:rStyle w:val="RTiSWDocLiteralText"/>
              </w:rPr>
            </w:pPr>
            <w:r>
              <w:rPr>
                <w:rStyle w:val="RTiSWDocLiteralText"/>
              </w:rPr>
              <w:t>InputFile2</w:t>
            </w:r>
          </w:p>
        </w:tc>
        <w:tc>
          <w:tcPr>
            <w:tcW w:w="5283" w:type="dxa"/>
          </w:tcPr>
          <w:p w:rsidR="005971BB" w:rsidRDefault="005971BB">
            <w:r>
              <w:t>The name of the second file to read.  Enclose the name in double quotes to protect whitespace and special characters.</w:t>
            </w:r>
            <w:r w:rsidR="00DE4720">
              <w:t xml:space="preserve">  </w:t>
            </w:r>
            <w:r w:rsidR="00020390">
              <w:t xml:space="preserve">Can be specified </w:t>
            </w:r>
            <w:r w:rsidR="00DE4720">
              <w:t xml:space="preserve">with the </w:t>
            </w:r>
            <w:r w:rsidR="00DE4720" w:rsidRPr="00DE4720">
              <w:rPr>
                <w:rStyle w:val="RTiSWDocLiteralText"/>
              </w:rPr>
              <w:t>${Property}</w:t>
            </w:r>
            <w:r w:rsidR="00DE4720">
              <w:t xml:space="preserve"> syntax.</w:t>
            </w:r>
          </w:p>
        </w:tc>
        <w:tc>
          <w:tcPr>
            <w:tcW w:w="2096" w:type="dxa"/>
          </w:tcPr>
          <w:p w:rsidR="005971BB" w:rsidRDefault="005971BB">
            <w:r>
              <w:t>None – the file name is required.</w:t>
            </w:r>
          </w:p>
        </w:tc>
      </w:tr>
      <w:tr w:rsidR="00A75B25">
        <w:trPr>
          <w:jc w:val="center"/>
        </w:trPr>
        <w:tc>
          <w:tcPr>
            <w:tcW w:w="2197" w:type="dxa"/>
          </w:tcPr>
          <w:p w:rsidR="00A75B25" w:rsidRDefault="00A75B25">
            <w:pPr>
              <w:rPr>
                <w:rStyle w:val="RTiSWDocLiteralText"/>
              </w:rPr>
            </w:pPr>
            <w:proofErr w:type="spellStart"/>
            <w:r>
              <w:rPr>
                <w:rStyle w:val="RTiSWDocLiteralText"/>
              </w:rPr>
              <w:t>CommentLineChar</w:t>
            </w:r>
            <w:proofErr w:type="spellEnd"/>
          </w:p>
        </w:tc>
        <w:tc>
          <w:tcPr>
            <w:tcW w:w="5283" w:type="dxa"/>
          </w:tcPr>
          <w:p w:rsidR="00A75B25" w:rsidRDefault="00A75B25" w:rsidP="00DE4720">
            <w:r>
              <w:t xml:space="preserve">The character(s) that if found at the start of a line indicate comment lines.  Comment lines are ignored in the comparison because they typically may include information such as date/time that changes even if the remainder of the file contents </w:t>
            </w:r>
            <w:r w:rsidR="00DE4720">
              <w:t>is</w:t>
            </w:r>
            <w:r>
              <w:t xml:space="preserve"> the same.</w:t>
            </w:r>
          </w:p>
        </w:tc>
        <w:tc>
          <w:tcPr>
            <w:tcW w:w="2096" w:type="dxa"/>
          </w:tcPr>
          <w:p w:rsidR="00A75B25" w:rsidRPr="00A75B25" w:rsidRDefault="00A75B25">
            <w:pPr>
              <w:rPr>
                <w:rStyle w:val="RTiSWDocLiteralText"/>
              </w:rPr>
            </w:pPr>
            <w:r w:rsidRPr="00A75B25">
              <w:rPr>
                <w:rStyle w:val="RTiSWDocLiteralText"/>
              </w:rPr>
              <w:t>#</w:t>
            </w:r>
          </w:p>
        </w:tc>
      </w:tr>
      <w:tr w:rsidR="00C937DF">
        <w:trPr>
          <w:jc w:val="center"/>
        </w:trPr>
        <w:tc>
          <w:tcPr>
            <w:tcW w:w="2197" w:type="dxa"/>
          </w:tcPr>
          <w:p w:rsidR="00C937DF" w:rsidRDefault="00C937DF">
            <w:pPr>
              <w:rPr>
                <w:rStyle w:val="RTiSWDocLiteralText"/>
              </w:rPr>
            </w:pPr>
            <w:proofErr w:type="spellStart"/>
            <w:r>
              <w:rPr>
                <w:rStyle w:val="RTiSWDocLiteralText"/>
              </w:rPr>
              <w:t>MatchCase</w:t>
            </w:r>
            <w:proofErr w:type="spellEnd"/>
          </w:p>
        </w:tc>
        <w:tc>
          <w:tcPr>
            <w:tcW w:w="5283" w:type="dxa"/>
          </w:tcPr>
          <w:p w:rsidR="00C937DF" w:rsidRDefault="00C937DF">
            <w:r>
              <w:t xml:space="preserve">If </w:t>
            </w:r>
            <w:r w:rsidRPr="00C937DF">
              <w:rPr>
                <w:rStyle w:val="RTiSWDocLiteralText"/>
              </w:rPr>
              <w:t>True</w:t>
            </w:r>
            <w:r>
              <w:t xml:space="preserve">, lines must match exactly.  If </w:t>
            </w:r>
            <w:r w:rsidRPr="00C937DF">
              <w:rPr>
                <w:rStyle w:val="RTiSWDocLiteralText"/>
              </w:rPr>
              <w:t>False</w:t>
            </w:r>
            <w:r>
              <w:t>, case is ignored for the comparison.</w:t>
            </w:r>
          </w:p>
        </w:tc>
        <w:tc>
          <w:tcPr>
            <w:tcW w:w="2096" w:type="dxa"/>
          </w:tcPr>
          <w:p w:rsidR="00C937DF" w:rsidRDefault="00C937DF">
            <w:pPr>
              <w:rPr>
                <w:rStyle w:val="RTiSWDocLiteralText"/>
              </w:rPr>
            </w:pPr>
            <w:r>
              <w:rPr>
                <w:rStyle w:val="RTiSWDocLiteralText"/>
              </w:rPr>
              <w:t>True</w:t>
            </w:r>
          </w:p>
        </w:tc>
      </w:tr>
      <w:tr w:rsidR="005B58B3">
        <w:trPr>
          <w:jc w:val="center"/>
        </w:trPr>
        <w:tc>
          <w:tcPr>
            <w:tcW w:w="2197" w:type="dxa"/>
          </w:tcPr>
          <w:p w:rsidR="005B58B3" w:rsidRDefault="005B58B3">
            <w:pPr>
              <w:rPr>
                <w:rStyle w:val="RTiSWDocLiteralText"/>
              </w:rPr>
            </w:pPr>
            <w:proofErr w:type="spellStart"/>
            <w:r>
              <w:rPr>
                <w:rStyle w:val="RTiSWDocLiteralText"/>
              </w:rPr>
              <w:t>IgnoreWhitespace</w:t>
            </w:r>
            <w:proofErr w:type="spellEnd"/>
          </w:p>
        </w:tc>
        <w:tc>
          <w:tcPr>
            <w:tcW w:w="5283" w:type="dxa"/>
          </w:tcPr>
          <w:p w:rsidR="005B58B3" w:rsidRDefault="005B58B3">
            <w:r>
              <w:t xml:space="preserve">If </w:t>
            </w:r>
            <w:r w:rsidRPr="005B58B3">
              <w:rPr>
                <w:rStyle w:val="RTiSWDocLiteralText"/>
              </w:rPr>
              <w:t>True</w:t>
            </w:r>
            <w:r>
              <w:t xml:space="preserve">, then each line is trimmed to remove leading and trailing whitespace characters (spaces and tabs) before doing the comparison.  If </w:t>
            </w:r>
            <w:r w:rsidRPr="005B58B3">
              <w:rPr>
                <w:rStyle w:val="RTiSWDocLiteralText"/>
              </w:rPr>
              <w:t>False</w:t>
            </w:r>
            <w:r>
              <w:t>, then whitespace is retained for the comparison.</w:t>
            </w:r>
          </w:p>
        </w:tc>
        <w:tc>
          <w:tcPr>
            <w:tcW w:w="2096" w:type="dxa"/>
          </w:tcPr>
          <w:p w:rsidR="005B58B3" w:rsidRDefault="005B58B3">
            <w:pPr>
              <w:rPr>
                <w:rStyle w:val="RTiSWDocLiteralText"/>
              </w:rPr>
            </w:pPr>
            <w:r>
              <w:rPr>
                <w:rStyle w:val="RTiSWDocLiteralText"/>
              </w:rPr>
              <w:t>False</w:t>
            </w:r>
          </w:p>
        </w:tc>
      </w:tr>
      <w:tr w:rsidR="00295BBF">
        <w:trPr>
          <w:jc w:val="center"/>
        </w:trPr>
        <w:tc>
          <w:tcPr>
            <w:tcW w:w="2197" w:type="dxa"/>
          </w:tcPr>
          <w:p w:rsidR="00295BBF" w:rsidRDefault="00295BBF">
            <w:pPr>
              <w:rPr>
                <w:rStyle w:val="RTiSWDocLiteralText"/>
              </w:rPr>
            </w:pPr>
            <w:proofErr w:type="spellStart"/>
            <w:r>
              <w:rPr>
                <w:rStyle w:val="RTiSWDocLiteralText"/>
              </w:rPr>
              <w:t>AllowedDiff</w:t>
            </w:r>
            <w:proofErr w:type="spellEnd"/>
          </w:p>
        </w:tc>
        <w:tc>
          <w:tcPr>
            <w:tcW w:w="5283" w:type="dxa"/>
          </w:tcPr>
          <w:p w:rsidR="00295BBF" w:rsidRDefault="00295BBF">
            <w:r>
              <w:t>The number of lines allowed to be different, when checking for differences.  This is useful, for example, when a non-comment line contains the date/time when the file was generated.</w:t>
            </w:r>
          </w:p>
        </w:tc>
        <w:tc>
          <w:tcPr>
            <w:tcW w:w="2096" w:type="dxa"/>
          </w:tcPr>
          <w:p w:rsidR="00295BBF" w:rsidRDefault="00295BBF">
            <w:r>
              <w:rPr>
                <w:rStyle w:val="RTiSWDocLiteralText"/>
              </w:rPr>
              <w:t>0</w:t>
            </w:r>
          </w:p>
        </w:tc>
      </w:tr>
      <w:tr w:rsidR="005971BB">
        <w:trPr>
          <w:jc w:val="center"/>
        </w:trPr>
        <w:tc>
          <w:tcPr>
            <w:tcW w:w="2197" w:type="dxa"/>
          </w:tcPr>
          <w:p w:rsidR="005971BB" w:rsidRDefault="005B58B3">
            <w:pPr>
              <w:rPr>
                <w:rStyle w:val="RTiSWDocLiteralText"/>
              </w:rPr>
            </w:pPr>
            <w:proofErr w:type="spellStart"/>
            <w:r>
              <w:rPr>
                <w:rStyle w:val="RTiSWDocLiteralText"/>
              </w:rPr>
              <w:t>I</w:t>
            </w:r>
            <w:r w:rsidR="005971BB">
              <w:rPr>
                <w:rStyle w:val="RTiSWDocLiteralText"/>
              </w:rPr>
              <w:t>fDifferent</w:t>
            </w:r>
            <w:proofErr w:type="spellEnd"/>
          </w:p>
        </w:tc>
        <w:tc>
          <w:tcPr>
            <w:tcW w:w="5283" w:type="dxa"/>
          </w:tcPr>
          <w:p w:rsidR="005B58B3" w:rsidRDefault="005B58B3">
            <w:r>
              <w:t>Indicates the action to be taken if the files are different:</w:t>
            </w:r>
          </w:p>
          <w:p w:rsidR="005971BB" w:rsidRDefault="005B58B3" w:rsidP="005B58B3">
            <w:pPr>
              <w:numPr>
                <w:ilvl w:val="0"/>
                <w:numId w:val="11"/>
              </w:numPr>
            </w:pPr>
            <w:r w:rsidRPr="005B58B3">
              <w:rPr>
                <w:rStyle w:val="RTiSWDocLiteralText"/>
              </w:rPr>
              <w:t>Ignore</w:t>
            </w:r>
            <w:r>
              <w:t xml:space="preserve"> – do not generate warning</w:t>
            </w:r>
          </w:p>
          <w:p w:rsidR="005B58B3" w:rsidRDefault="005B58B3" w:rsidP="005B58B3">
            <w:pPr>
              <w:numPr>
                <w:ilvl w:val="0"/>
                <w:numId w:val="11"/>
              </w:numPr>
            </w:pPr>
            <w:r w:rsidRPr="005B58B3">
              <w:rPr>
                <w:rStyle w:val="RTiSWDocLiteralText"/>
              </w:rPr>
              <w:t>Warn</w:t>
            </w:r>
            <w:r>
              <w:t xml:space="preserve"> – generate a warning message</w:t>
            </w:r>
          </w:p>
          <w:p w:rsidR="005B58B3" w:rsidRDefault="005B58B3" w:rsidP="005B58B3">
            <w:pPr>
              <w:numPr>
                <w:ilvl w:val="0"/>
                <w:numId w:val="11"/>
              </w:numPr>
            </w:pPr>
            <w:r w:rsidRPr="005B58B3">
              <w:rPr>
                <w:rStyle w:val="RTiSWDocLiteralText"/>
              </w:rPr>
              <w:t>Fail</w:t>
            </w:r>
            <w:r>
              <w:t xml:space="preserve"> – generate a failure message</w:t>
            </w:r>
          </w:p>
        </w:tc>
        <w:tc>
          <w:tcPr>
            <w:tcW w:w="2096" w:type="dxa"/>
          </w:tcPr>
          <w:p w:rsidR="005971BB" w:rsidRDefault="005971BB">
            <w:r>
              <w:t>Do not generate a warning if the files are different.  Differences are printed to the log file.</w:t>
            </w:r>
          </w:p>
        </w:tc>
      </w:tr>
      <w:tr w:rsidR="005971BB">
        <w:trPr>
          <w:jc w:val="center"/>
        </w:trPr>
        <w:tc>
          <w:tcPr>
            <w:tcW w:w="2197" w:type="dxa"/>
          </w:tcPr>
          <w:p w:rsidR="005971BB" w:rsidRDefault="005971BB">
            <w:pPr>
              <w:rPr>
                <w:rStyle w:val="RTiSWDocLiteralText"/>
              </w:rPr>
            </w:pPr>
            <w:proofErr w:type="spellStart"/>
            <w:r>
              <w:rPr>
                <w:rStyle w:val="RTiSWDocLiteralText"/>
              </w:rPr>
              <w:t>IfSame</w:t>
            </w:r>
            <w:proofErr w:type="spellEnd"/>
          </w:p>
        </w:tc>
        <w:tc>
          <w:tcPr>
            <w:tcW w:w="5283" w:type="dxa"/>
          </w:tcPr>
          <w:p w:rsidR="005B58B3" w:rsidRDefault="005B58B3" w:rsidP="005B58B3">
            <w:r>
              <w:t>Indicates the action to be taken if the files are the same:</w:t>
            </w:r>
          </w:p>
          <w:p w:rsidR="005B58B3" w:rsidRDefault="005B58B3" w:rsidP="005B58B3">
            <w:pPr>
              <w:numPr>
                <w:ilvl w:val="0"/>
                <w:numId w:val="11"/>
              </w:numPr>
            </w:pPr>
            <w:r w:rsidRPr="005B58B3">
              <w:rPr>
                <w:rStyle w:val="RTiSWDocLiteralText"/>
              </w:rPr>
              <w:t>Ignore</w:t>
            </w:r>
            <w:r>
              <w:t xml:space="preserve"> – do not generate warning</w:t>
            </w:r>
          </w:p>
          <w:p w:rsidR="005B58B3" w:rsidRDefault="005B58B3" w:rsidP="005B58B3">
            <w:pPr>
              <w:numPr>
                <w:ilvl w:val="0"/>
                <w:numId w:val="11"/>
              </w:numPr>
            </w:pPr>
            <w:r w:rsidRPr="005B58B3">
              <w:rPr>
                <w:rStyle w:val="RTiSWDocLiteralText"/>
              </w:rPr>
              <w:t>Warn</w:t>
            </w:r>
            <w:r>
              <w:t xml:space="preserve"> – generate a warning message</w:t>
            </w:r>
          </w:p>
          <w:p w:rsidR="005971BB" w:rsidRDefault="005B58B3" w:rsidP="005B58B3">
            <w:pPr>
              <w:numPr>
                <w:ilvl w:val="0"/>
                <w:numId w:val="11"/>
              </w:numPr>
            </w:pPr>
            <w:r w:rsidRPr="005B58B3">
              <w:rPr>
                <w:rStyle w:val="RTiSWDocLiteralText"/>
              </w:rPr>
              <w:t>Fail</w:t>
            </w:r>
            <w:r>
              <w:t xml:space="preserve"> – generate a failure message</w:t>
            </w:r>
          </w:p>
        </w:tc>
        <w:tc>
          <w:tcPr>
            <w:tcW w:w="2096" w:type="dxa"/>
          </w:tcPr>
          <w:p w:rsidR="005971BB" w:rsidRDefault="005971BB">
            <w:r>
              <w:t>Do not generate a warning if the files are the same.</w:t>
            </w:r>
          </w:p>
        </w:tc>
      </w:tr>
    </w:tbl>
    <w:p w:rsidR="005971BB" w:rsidRDefault="005971BB">
      <w:pPr>
        <w:rPr>
          <w:color w:val="C0C0C0"/>
        </w:rPr>
      </w:pPr>
    </w:p>
    <w:p w:rsidR="005971BB" w:rsidRDefault="005971BB">
      <w:pPr>
        <w:rPr>
          <w:color w:val="000000"/>
        </w:rPr>
      </w:pPr>
      <w:r>
        <w:rPr>
          <w:color w:val="000000"/>
        </w:rPr>
        <w:t>The following example illustrates how two files can be compared.  For example, use similar commands to compare results from two model runs</w:t>
      </w:r>
      <w:r w:rsidR="00A75B25">
        <w:rPr>
          <w:color w:val="000000"/>
        </w:rPr>
        <w:t xml:space="preserve">, </w:t>
      </w:r>
      <w:r>
        <w:rPr>
          <w:color w:val="000000"/>
        </w:rPr>
        <w:t>two database queries</w:t>
      </w:r>
      <w:r w:rsidR="00A75B25">
        <w:rPr>
          <w:color w:val="000000"/>
        </w:rPr>
        <w:t>, or when testing software</w:t>
      </w:r>
      <w:r>
        <w:rPr>
          <w:color w:val="000000"/>
        </w:rPr>
        <w:t>:</w:t>
      </w:r>
    </w:p>
    <w:p w:rsidR="005971BB" w:rsidRDefault="005971BB">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5971BB">
        <w:trPr>
          <w:jc w:val="center"/>
        </w:trPr>
        <w:tc>
          <w:tcPr>
            <w:tcW w:w="9198" w:type="dxa"/>
          </w:tcPr>
          <w:p w:rsidR="00A75B25" w:rsidRDefault="00507C6B">
            <w:pPr>
              <w:rPr>
                <w:rFonts w:ascii="Courier New" w:eastAsia="MS Mincho" w:hAnsi="Courier New" w:cs="Courier New"/>
                <w:sz w:val="20"/>
              </w:rPr>
            </w:pPr>
            <w:proofErr w:type="spellStart"/>
            <w:r>
              <w:rPr>
                <w:rFonts w:ascii="Courier New" w:eastAsia="MS Mincho" w:hAnsi="Courier New" w:cs="Courier New"/>
                <w:sz w:val="20"/>
              </w:rPr>
              <w:t>C</w:t>
            </w:r>
            <w:r w:rsidR="005971BB">
              <w:rPr>
                <w:rFonts w:ascii="Courier New" w:eastAsia="MS Mincho" w:hAnsi="Courier New" w:cs="Courier New"/>
                <w:sz w:val="20"/>
              </w:rPr>
              <w:t>ompareFiles</w:t>
            </w:r>
            <w:proofErr w:type="spellEnd"/>
            <w:r w:rsidR="005971BB">
              <w:rPr>
                <w:rFonts w:ascii="Courier New" w:eastAsia="MS Mincho" w:hAnsi="Courier New" w:cs="Courier New"/>
                <w:sz w:val="20"/>
              </w:rPr>
              <w:t>(InputFile1="</w:t>
            </w:r>
            <w:r>
              <w:rPr>
                <w:rFonts w:ascii="Courier New" w:eastAsia="MS Mincho" w:hAnsi="Courier New" w:cs="Courier New"/>
                <w:sz w:val="20"/>
              </w:rPr>
              <w:t>Data/</w:t>
            </w:r>
            <w:r w:rsidR="005971BB">
              <w:rPr>
                <w:rFonts w:ascii="Courier New" w:eastAsia="MS Mincho" w:hAnsi="Courier New" w:cs="Courier New"/>
                <w:sz w:val="20"/>
              </w:rPr>
              <w:t>A1.txt",InputFile2="</w:t>
            </w:r>
            <w:r>
              <w:rPr>
                <w:rFonts w:ascii="Courier New" w:eastAsia="MS Mincho" w:hAnsi="Courier New" w:cs="Courier New"/>
                <w:sz w:val="20"/>
              </w:rPr>
              <w:t>Data/</w:t>
            </w:r>
            <w:r w:rsidR="005971BB">
              <w:rPr>
                <w:rFonts w:ascii="Courier New" w:eastAsia="MS Mincho" w:hAnsi="Courier New" w:cs="Courier New"/>
                <w:sz w:val="20"/>
              </w:rPr>
              <w:t>B1.txt",</w:t>
            </w:r>
          </w:p>
          <w:p w:rsidR="005971BB" w:rsidRDefault="00A75B25">
            <w:pPr>
              <w:rPr>
                <w:rFonts w:ascii="Courier New" w:hAnsi="Courier New" w:cs="Courier New"/>
                <w:color w:val="000000"/>
                <w:sz w:val="20"/>
              </w:rPr>
            </w:pPr>
            <w:r>
              <w:rPr>
                <w:rFonts w:ascii="Courier New" w:eastAsia="MS Mincho" w:hAnsi="Courier New" w:cs="Courier New"/>
                <w:sz w:val="20"/>
              </w:rPr>
              <w:t xml:space="preserve">  </w:t>
            </w:r>
            <w:proofErr w:type="spellStart"/>
            <w:r w:rsidR="005971BB">
              <w:rPr>
                <w:rFonts w:ascii="Courier New" w:eastAsia="MS Mincho" w:hAnsi="Courier New" w:cs="Courier New"/>
                <w:sz w:val="20"/>
              </w:rPr>
              <w:t>WarnIfDifferent</w:t>
            </w:r>
            <w:proofErr w:type="spellEnd"/>
            <w:r w:rsidR="005971BB">
              <w:rPr>
                <w:rFonts w:ascii="Courier New" w:eastAsia="MS Mincho" w:hAnsi="Courier New" w:cs="Courier New"/>
                <w:sz w:val="20"/>
              </w:rPr>
              <w:t>=True)</w:t>
            </w:r>
          </w:p>
        </w:tc>
      </w:tr>
    </w:tbl>
    <w:p w:rsidR="005971BB" w:rsidRDefault="005971BB">
      <w:pPr>
        <w:rPr>
          <w:color w:val="C0C0C0"/>
        </w:rPr>
      </w:pPr>
      <w:bookmarkStart w:id="1" w:name="_GoBack"/>
      <w:bookmarkEnd w:id="0"/>
      <w:bookmarkEnd w:id="1"/>
    </w:p>
    <w:sectPr w:rsidR="005971BB">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D57" w:rsidRDefault="00E76D57">
      <w:r>
        <w:separator/>
      </w:r>
    </w:p>
  </w:endnote>
  <w:endnote w:type="continuationSeparator" w:id="0">
    <w:p w:rsidR="00E76D57" w:rsidRDefault="00E76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1BB" w:rsidRDefault="005971BB">
    <w:pPr>
      <w:pStyle w:val="RTiSWDocFooter"/>
    </w:pPr>
    <w:r>
      <w:t xml:space="preserve">Command Reference – </w:t>
    </w:r>
    <w:proofErr w:type="spellStart"/>
    <w:proofErr w:type="gramStart"/>
    <w:r w:rsidR="00507C6B">
      <w:t>C</w:t>
    </w:r>
    <w:r>
      <w:t>ompareFiles</w:t>
    </w:r>
    <w:proofErr w:type="spellEnd"/>
    <w:r>
      <w:t>(</w:t>
    </w:r>
    <w:proofErr w:type="gramEnd"/>
    <w:r>
      <w:t xml:space="preserve">) - </w:t>
    </w:r>
    <w:r>
      <w:fldChar w:fldCharType="begin"/>
    </w:r>
    <w:r>
      <w:instrText xml:space="preserve"> PAGE </w:instrText>
    </w:r>
    <w:r>
      <w:fldChar w:fldCharType="separate"/>
    </w:r>
    <w:r w:rsidR="00020390">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1BB" w:rsidRDefault="005971BB">
    <w:pPr>
      <w:pBdr>
        <w:top w:val="single" w:sz="4" w:space="1" w:color="auto"/>
      </w:pBdr>
      <w:tabs>
        <w:tab w:val="right" w:pos="9360"/>
      </w:tabs>
    </w:pPr>
    <w:r>
      <w:tab/>
    </w:r>
    <w:r>
      <w:tab/>
      <w:t xml:space="preserve">Command Reference – </w:t>
    </w:r>
    <w:proofErr w:type="spellStart"/>
    <w:proofErr w:type="gramStart"/>
    <w:r>
      <w:t>compareFiles</w:t>
    </w:r>
    <w:proofErr w:type="spellEnd"/>
    <w:r>
      <w:t>(</w:t>
    </w:r>
    <w:proofErr w:type="gramEnd"/>
    <w:r>
      <w:t xml:space="preserve">) - </w:t>
    </w:r>
    <w:r>
      <w:fldChar w:fldCharType="begin"/>
    </w:r>
    <w:r>
      <w:instrText xml:space="preserve"> PAGE </w:instrText>
    </w:r>
    <w:r>
      <w:fldChar w:fldCharType="separate"/>
    </w:r>
    <w:r w:rsidR="00020390">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1BB" w:rsidRDefault="005971BB">
    <w:pPr>
      <w:pStyle w:val="RTiSWDocFooter"/>
    </w:pPr>
    <w:r>
      <w:tab/>
    </w:r>
    <w:r>
      <w:tab/>
      <w:t xml:space="preserve">Command Reference – </w:t>
    </w:r>
    <w:proofErr w:type="spellStart"/>
    <w:proofErr w:type="gramStart"/>
    <w:r w:rsidR="00507C6B">
      <w:t>C</w:t>
    </w:r>
    <w:r>
      <w:t>ompareFiles</w:t>
    </w:r>
    <w:proofErr w:type="spellEnd"/>
    <w:r>
      <w:t>(</w:t>
    </w:r>
    <w:proofErr w:type="gramEnd"/>
    <w:r>
      <w:t xml:space="preserve">) - </w:t>
    </w:r>
    <w:r>
      <w:fldChar w:fldCharType="begin"/>
    </w:r>
    <w:r>
      <w:instrText xml:space="preserve"> PAGE </w:instrText>
    </w:r>
    <w:r>
      <w:fldChar w:fldCharType="separate"/>
    </w:r>
    <w:r w:rsidR="0002039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D57" w:rsidRDefault="00E76D57">
      <w:r>
        <w:separator/>
      </w:r>
    </w:p>
  </w:footnote>
  <w:footnote w:type="continuationSeparator" w:id="0">
    <w:p w:rsidR="00E76D57" w:rsidRDefault="00E76D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1BB" w:rsidRDefault="00507C6B">
    <w:pPr>
      <w:pStyle w:val="RTiSWDocHeader"/>
    </w:pPr>
    <w:proofErr w:type="spellStart"/>
    <w:proofErr w:type="gramStart"/>
    <w:r>
      <w:t>C</w:t>
    </w:r>
    <w:r w:rsidR="005971BB">
      <w:t>ompareFiles</w:t>
    </w:r>
    <w:proofErr w:type="spellEnd"/>
    <w:r w:rsidR="005971BB">
      <w:t>(</w:t>
    </w:r>
    <w:proofErr w:type="gramEnd"/>
    <w:r w:rsidR="005971BB">
      <w:t>) Command</w:t>
    </w:r>
    <w:r w:rsidR="005971BB">
      <w:tab/>
    </w:r>
    <w:r w:rsidR="005971BB">
      <w:tab/>
    </w:r>
    <w:proofErr w:type="spellStart"/>
    <w:r w:rsidR="005971BB">
      <w:t>TSTool</w:t>
    </w:r>
    <w:proofErr w:type="spellEnd"/>
    <w:r w:rsidR="005971BB">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1BB" w:rsidRDefault="005971BB">
    <w:pPr>
      <w:pBdr>
        <w:bottom w:val="single" w:sz="6" w:space="1" w:color="000000"/>
      </w:pBdr>
      <w:tabs>
        <w:tab w:val="right" w:pos="9360"/>
      </w:tabs>
    </w:pPr>
    <w:proofErr w:type="spellStart"/>
    <w:r>
      <w:t>TSTool</w:t>
    </w:r>
    <w:proofErr w:type="spellEnd"/>
    <w:r>
      <w:t xml:space="preserve"> Documentation</w:t>
    </w:r>
    <w:r>
      <w:tab/>
    </w:r>
    <w:r>
      <w:tab/>
    </w:r>
    <w:proofErr w:type="spellStart"/>
    <w:proofErr w:type="gramStart"/>
    <w:r>
      <w:t>compareFiles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71BB" w:rsidRDefault="005971BB">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45A64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DC47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DB004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85A29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3AE1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FA43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726D0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DE631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10417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72FCB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A32B6E"/>
    <w:multiLevelType w:val="hybridMultilevel"/>
    <w:tmpl w:val="75F46E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C6B"/>
    <w:rsid w:val="00020390"/>
    <w:rsid w:val="00276997"/>
    <w:rsid w:val="00295BBF"/>
    <w:rsid w:val="002D2749"/>
    <w:rsid w:val="003207F4"/>
    <w:rsid w:val="004703BD"/>
    <w:rsid w:val="004B5643"/>
    <w:rsid w:val="00507C6B"/>
    <w:rsid w:val="005971BB"/>
    <w:rsid w:val="005B58B3"/>
    <w:rsid w:val="007458F8"/>
    <w:rsid w:val="007843DC"/>
    <w:rsid w:val="007E0CE3"/>
    <w:rsid w:val="008E2422"/>
    <w:rsid w:val="0091689A"/>
    <w:rsid w:val="00A67554"/>
    <w:rsid w:val="00A75B25"/>
    <w:rsid w:val="00AC4DBF"/>
    <w:rsid w:val="00B870EE"/>
    <w:rsid w:val="00C937DF"/>
    <w:rsid w:val="00CE4006"/>
    <w:rsid w:val="00CE7E7F"/>
    <w:rsid w:val="00DE4720"/>
    <w:rsid w:val="00E76D57"/>
    <w:rsid w:val="00E909D6"/>
    <w:rsid w:val="00F53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E378C27-B9DE-4A7A-8C62-8C4E3F5B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paragraph" w:customStyle="1" w:styleId="RTiSWDocSubtitle">
    <w:name w:val="RTi SW Doc Subtitle"/>
    <w:pPr>
      <w:jc w:val="center"/>
    </w:pPr>
    <w:rPr>
      <w:rFonts w:ascii="Arial Bold" w:hAnsi="Arial Bold"/>
      <w:sz w:val="28"/>
    </w:rPr>
  </w:style>
  <w:style w:type="paragraph" w:customStyle="1" w:styleId="RTiSWDocToC">
    <w:name w:val="RTi SW Doc ToC"/>
    <w:pPr>
      <w:tabs>
        <w:tab w:val="left" w:pos="360"/>
        <w:tab w:val="left" w:pos="720"/>
      </w:tabs>
    </w:pPr>
    <w:rPr>
      <w:rFonts w:ascii="Arial" w:hAnsi="Arial"/>
      <w:sz w:val="22"/>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character" w:customStyle="1" w:styleId="RTiSWDocGUIReference">
    <w:name w:val="RTi SW Doc GUI Reference"/>
    <w:rPr>
      <w:rFonts w:ascii="Arial" w:hAnsi="Arial"/>
      <w:b/>
      <w:i/>
      <w:sz w:val="20"/>
    </w:rPr>
  </w:style>
  <w:style w:type="character" w:customStyle="1" w:styleId="RTiSWDocLiteralText">
    <w:name w:val="RTi SW Doc Literal Text"/>
    <w:rsid w:val="00DE4720"/>
    <w:rPr>
      <w:rFonts w:ascii="Courier New" w:hAnsi="Courier New"/>
      <w:sz w:val="22"/>
    </w:rPr>
  </w:style>
  <w:style w:type="character" w:customStyle="1" w:styleId="RTiSWDocLiteralTextInput">
    <w:name w:val="RTi SW Doc Literal Text Input"/>
    <w:rsid w:val="00DE4720"/>
    <w:rPr>
      <w:rFonts w:ascii="Courier New" w:hAnsi="Courier New"/>
      <w:b/>
      <w:sz w:val="22"/>
    </w:rPr>
  </w:style>
  <w:style w:type="character" w:customStyle="1" w:styleId="RTiSWDocSectionReference">
    <w:name w:val="RTi SW Doc Section Reference"/>
    <w:rPr>
      <w:rFonts w:ascii="Arial" w:hAnsi="Arial"/>
      <w:b/>
      <w:sz w:val="20"/>
    </w:rPr>
  </w:style>
  <w:style w:type="paragraph" w:customStyle="1" w:styleId="RTiSWDocTableHeading">
    <w:name w:val="RTi SW Doc Table Heading"/>
    <w:basedOn w:val="Normal"/>
    <w:next w:val="Normal"/>
    <w:rPr>
      <w:rFonts w:ascii="Arial" w:hAnsi="Arial"/>
      <w:b/>
    </w:rPr>
  </w:style>
  <w:style w:type="paragraph" w:styleId="BalloonText">
    <w:name w:val="Balloon Text"/>
    <w:basedOn w:val="Normal"/>
    <w:semiHidden/>
    <w:rsid w:val="002D2749"/>
    <w:rPr>
      <w:rFonts w:ascii="Tahoma" w:hAnsi="Tahoma" w:cs="Tahoma"/>
      <w:sz w:val="16"/>
      <w:szCs w:val="16"/>
    </w:rPr>
  </w:style>
  <w:style w:type="paragraph" w:styleId="BlockText">
    <w:name w:val="Block Text"/>
    <w:basedOn w:val="Normal"/>
    <w:rsid w:val="002D2749"/>
    <w:pPr>
      <w:spacing w:after="120"/>
      <w:ind w:left="1440" w:right="1440"/>
    </w:pPr>
  </w:style>
  <w:style w:type="paragraph" w:styleId="BodyText">
    <w:name w:val="Body Text"/>
    <w:basedOn w:val="Normal"/>
    <w:rsid w:val="002D2749"/>
    <w:pPr>
      <w:spacing w:after="120"/>
    </w:pPr>
  </w:style>
  <w:style w:type="paragraph" w:styleId="BodyText2">
    <w:name w:val="Body Text 2"/>
    <w:basedOn w:val="Normal"/>
    <w:rsid w:val="002D2749"/>
    <w:pPr>
      <w:spacing w:after="120" w:line="480" w:lineRule="auto"/>
    </w:pPr>
  </w:style>
  <w:style w:type="paragraph" w:styleId="BodyText3">
    <w:name w:val="Body Text 3"/>
    <w:basedOn w:val="Normal"/>
    <w:rsid w:val="002D2749"/>
    <w:pPr>
      <w:spacing w:after="120"/>
    </w:pPr>
    <w:rPr>
      <w:sz w:val="16"/>
      <w:szCs w:val="16"/>
    </w:rPr>
  </w:style>
  <w:style w:type="paragraph" w:styleId="BodyTextFirstIndent">
    <w:name w:val="Body Text First Indent"/>
    <w:basedOn w:val="BodyText"/>
    <w:rsid w:val="002D2749"/>
    <w:pPr>
      <w:ind w:firstLine="210"/>
    </w:pPr>
  </w:style>
  <w:style w:type="paragraph" w:styleId="BodyTextIndent">
    <w:name w:val="Body Text Indent"/>
    <w:basedOn w:val="Normal"/>
    <w:rsid w:val="002D2749"/>
    <w:pPr>
      <w:spacing w:after="120"/>
      <w:ind w:left="360"/>
    </w:pPr>
  </w:style>
  <w:style w:type="paragraph" w:styleId="BodyTextFirstIndent2">
    <w:name w:val="Body Text First Indent 2"/>
    <w:basedOn w:val="BodyTextIndent"/>
    <w:rsid w:val="002D2749"/>
    <w:pPr>
      <w:ind w:firstLine="210"/>
    </w:pPr>
  </w:style>
  <w:style w:type="paragraph" w:styleId="BodyTextIndent2">
    <w:name w:val="Body Text Indent 2"/>
    <w:basedOn w:val="Normal"/>
    <w:rsid w:val="002D2749"/>
    <w:pPr>
      <w:spacing w:after="120" w:line="480" w:lineRule="auto"/>
      <w:ind w:left="360"/>
    </w:pPr>
  </w:style>
  <w:style w:type="paragraph" w:styleId="BodyTextIndent3">
    <w:name w:val="Body Text Indent 3"/>
    <w:basedOn w:val="Normal"/>
    <w:rsid w:val="002D2749"/>
    <w:pPr>
      <w:spacing w:after="120"/>
      <w:ind w:left="360"/>
    </w:pPr>
    <w:rPr>
      <w:sz w:val="16"/>
      <w:szCs w:val="16"/>
    </w:rPr>
  </w:style>
  <w:style w:type="paragraph" w:styleId="Caption">
    <w:name w:val="caption"/>
    <w:basedOn w:val="Normal"/>
    <w:next w:val="Normal"/>
    <w:qFormat/>
    <w:rsid w:val="002D2749"/>
    <w:rPr>
      <w:b/>
      <w:bCs/>
      <w:sz w:val="20"/>
    </w:rPr>
  </w:style>
  <w:style w:type="paragraph" w:styleId="Closing">
    <w:name w:val="Closing"/>
    <w:basedOn w:val="Normal"/>
    <w:rsid w:val="002D2749"/>
    <w:pPr>
      <w:ind w:left="4320"/>
    </w:pPr>
  </w:style>
  <w:style w:type="paragraph" w:styleId="CommentText">
    <w:name w:val="annotation text"/>
    <w:basedOn w:val="Normal"/>
    <w:semiHidden/>
    <w:rsid w:val="002D2749"/>
    <w:rPr>
      <w:sz w:val="20"/>
    </w:rPr>
  </w:style>
  <w:style w:type="paragraph" w:styleId="CommentSubject">
    <w:name w:val="annotation subject"/>
    <w:basedOn w:val="CommentText"/>
    <w:next w:val="CommentText"/>
    <w:semiHidden/>
    <w:rsid w:val="002D2749"/>
    <w:rPr>
      <w:b/>
      <w:bCs/>
    </w:rPr>
  </w:style>
  <w:style w:type="paragraph" w:styleId="Date">
    <w:name w:val="Date"/>
    <w:basedOn w:val="Normal"/>
    <w:next w:val="Normal"/>
    <w:rsid w:val="002D2749"/>
  </w:style>
  <w:style w:type="paragraph" w:styleId="DocumentMap">
    <w:name w:val="Document Map"/>
    <w:basedOn w:val="Normal"/>
    <w:semiHidden/>
    <w:rsid w:val="002D2749"/>
    <w:pPr>
      <w:shd w:val="clear" w:color="auto" w:fill="000080"/>
    </w:pPr>
    <w:rPr>
      <w:rFonts w:ascii="Tahoma" w:hAnsi="Tahoma" w:cs="Tahoma"/>
      <w:sz w:val="20"/>
    </w:rPr>
  </w:style>
  <w:style w:type="paragraph" w:styleId="E-mailSignature">
    <w:name w:val="E-mail Signature"/>
    <w:basedOn w:val="Normal"/>
    <w:rsid w:val="002D2749"/>
  </w:style>
  <w:style w:type="paragraph" w:styleId="EndnoteText">
    <w:name w:val="endnote text"/>
    <w:basedOn w:val="Normal"/>
    <w:semiHidden/>
    <w:rsid w:val="002D2749"/>
    <w:rPr>
      <w:sz w:val="20"/>
    </w:rPr>
  </w:style>
  <w:style w:type="paragraph" w:styleId="EnvelopeAddress">
    <w:name w:val="envelope address"/>
    <w:basedOn w:val="Normal"/>
    <w:rsid w:val="002D274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2D2749"/>
    <w:rPr>
      <w:rFonts w:ascii="Arial" w:hAnsi="Arial" w:cs="Arial"/>
      <w:sz w:val="20"/>
    </w:rPr>
  </w:style>
  <w:style w:type="paragraph" w:styleId="Footer">
    <w:name w:val="footer"/>
    <w:basedOn w:val="Normal"/>
    <w:rsid w:val="002D2749"/>
    <w:pPr>
      <w:tabs>
        <w:tab w:val="center" w:pos="4320"/>
        <w:tab w:val="right" w:pos="8640"/>
      </w:tabs>
    </w:pPr>
  </w:style>
  <w:style w:type="paragraph" w:styleId="FootnoteText">
    <w:name w:val="footnote text"/>
    <w:basedOn w:val="Normal"/>
    <w:semiHidden/>
    <w:rsid w:val="002D2749"/>
    <w:rPr>
      <w:sz w:val="20"/>
    </w:rPr>
  </w:style>
  <w:style w:type="paragraph" w:styleId="Header">
    <w:name w:val="header"/>
    <w:basedOn w:val="Normal"/>
    <w:rsid w:val="002D2749"/>
    <w:pPr>
      <w:tabs>
        <w:tab w:val="center" w:pos="4320"/>
        <w:tab w:val="right" w:pos="8640"/>
      </w:tabs>
    </w:pPr>
  </w:style>
  <w:style w:type="paragraph" w:styleId="HTMLAddress">
    <w:name w:val="HTML Address"/>
    <w:basedOn w:val="Normal"/>
    <w:rsid w:val="002D2749"/>
    <w:rPr>
      <w:i/>
      <w:iCs/>
    </w:rPr>
  </w:style>
  <w:style w:type="paragraph" w:styleId="HTMLPreformatted">
    <w:name w:val="HTML Preformatted"/>
    <w:basedOn w:val="Normal"/>
    <w:rsid w:val="002D2749"/>
    <w:rPr>
      <w:rFonts w:ascii="Courier New" w:hAnsi="Courier New" w:cs="Courier New"/>
      <w:sz w:val="20"/>
    </w:rPr>
  </w:style>
  <w:style w:type="paragraph" w:styleId="Index1">
    <w:name w:val="index 1"/>
    <w:basedOn w:val="Normal"/>
    <w:next w:val="Normal"/>
    <w:autoRedefine/>
    <w:semiHidden/>
    <w:rsid w:val="002D2749"/>
    <w:pPr>
      <w:ind w:left="220" w:hanging="220"/>
    </w:pPr>
  </w:style>
  <w:style w:type="paragraph" w:styleId="Index2">
    <w:name w:val="index 2"/>
    <w:basedOn w:val="Normal"/>
    <w:next w:val="Normal"/>
    <w:autoRedefine/>
    <w:semiHidden/>
    <w:rsid w:val="002D2749"/>
    <w:pPr>
      <w:ind w:left="440" w:hanging="220"/>
    </w:pPr>
  </w:style>
  <w:style w:type="paragraph" w:styleId="Index3">
    <w:name w:val="index 3"/>
    <w:basedOn w:val="Normal"/>
    <w:next w:val="Normal"/>
    <w:autoRedefine/>
    <w:semiHidden/>
    <w:rsid w:val="002D2749"/>
    <w:pPr>
      <w:ind w:left="660" w:hanging="220"/>
    </w:pPr>
  </w:style>
  <w:style w:type="paragraph" w:styleId="Index4">
    <w:name w:val="index 4"/>
    <w:basedOn w:val="Normal"/>
    <w:next w:val="Normal"/>
    <w:autoRedefine/>
    <w:semiHidden/>
    <w:rsid w:val="002D2749"/>
    <w:pPr>
      <w:ind w:left="880" w:hanging="220"/>
    </w:pPr>
  </w:style>
  <w:style w:type="paragraph" w:styleId="Index5">
    <w:name w:val="index 5"/>
    <w:basedOn w:val="Normal"/>
    <w:next w:val="Normal"/>
    <w:autoRedefine/>
    <w:semiHidden/>
    <w:rsid w:val="002D2749"/>
    <w:pPr>
      <w:ind w:left="1100" w:hanging="220"/>
    </w:pPr>
  </w:style>
  <w:style w:type="paragraph" w:styleId="Index6">
    <w:name w:val="index 6"/>
    <w:basedOn w:val="Normal"/>
    <w:next w:val="Normal"/>
    <w:autoRedefine/>
    <w:semiHidden/>
    <w:rsid w:val="002D2749"/>
    <w:pPr>
      <w:ind w:left="1320" w:hanging="220"/>
    </w:pPr>
  </w:style>
  <w:style w:type="paragraph" w:styleId="Index7">
    <w:name w:val="index 7"/>
    <w:basedOn w:val="Normal"/>
    <w:next w:val="Normal"/>
    <w:autoRedefine/>
    <w:semiHidden/>
    <w:rsid w:val="002D2749"/>
    <w:pPr>
      <w:ind w:left="1540" w:hanging="220"/>
    </w:pPr>
  </w:style>
  <w:style w:type="paragraph" w:styleId="Index8">
    <w:name w:val="index 8"/>
    <w:basedOn w:val="Normal"/>
    <w:next w:val="Normal"/>
    <w:autoRedefine/>
    <w:semiHidden/>
    <w:rsid w:val="002D2749"/>
    <w:pPr>
      <w:ind w:left="1760" w:hanging="220"/>
    </w:pPr>
  </w:style>
  <w:style w:type="paragraph" w:styleId="Index9">
    <w:name w:val="index 9"/>
    <w:basedOn w:val="Normal"/>
    <w:next w:val="Normal"/>
    <w:autoRedefine/>
    <w:semiHidden/>
    <w:rsid w:val="002D2749"/>
    <w:pPr>
      <w:ind w:left="1980" w:hanging="220"/>
    </w:pPr>
  </w:style>
  <w:style w:type="paragraph" w:styleId="IndexHeading">
    <w:name w:val="index heading"/>
    <w:basedOn w:val="Normal"/>
    <w:next w:val="Index1"/>
    <w:semiHidden/>
    <w:rsid w:val="002D2749"/>
    <w:rPr>
      <w:rFonts w:ascii="Arial" w:hAnsi="Arial" w:cs="Arial"/>
      <w:b/>
      <w:bCs/>
    </w:rPr>
  </w:style>
  <w:style w:type="paragraph" w:styleId="List">
    <w:name w:val="List"/>
    <w:basedOn w:val="Normal"/>
    <w:rsid w:val="002D2749"/>
    <w:pPr>
      <w:ind w:left="360" w:hanging="360"/>
    </w:pPr>
  </w:style>
  <w:style w:type="paragraph" w:styleId="List2">
    <w:name w:val="List 2"/>
    <w:basedOn w:val="Normal"/>
    <w:rsid w:val="002D2749"/>
    <w:pPr>
      <w:ind w:left="720" w:hanging="360"/>
    </w:pPr>
  </w:style>
  <w:style w:type="paragraph" w:styleId="List3">
    <w:name w:val="List 3"/>
    <w:basedOn w:val="Normal"/>
    <w:rsid w:val="002D2749"/>
    <w:pPr>
      <w:ind w:left="1080" w:hanging="360"/>
    </w:pPr>
  </w:style>
  <w:style w:type="paragraph" w:styleId="List4">
    <w:name w:val="List 4"/>
    <w:basedOn w:val="Normal"/>
    <w:rsid w:val="002D2749"/>
    <w:pPr>
      <w:ind w:left="1440" w:hanging="360"/>
    </w:pPr>
  </w:style>
  <w:style w:type="paragraph" w:styleId="List5">
    <w:name w:val="List 5"/>
    <w:basedOn w:val="Normal"/>
    <w:rsid w:val="002D2749"/>
    <w:pPr>
      <w:ind w:left="1800" w:hanging="360"/>
    </w:pPr>
  </w:style>
  <w:style w:type="paragraph" w:styleId="ListBullet">
    <w:name w:val="List Bullet"/>
    <w:basedOn w:val="Normal"/>
    <w:rsid w:val="002D2749"/>
    <w:pPr>
      <w:numPr>
        <w:numId w:val="1"/>
      </w:numPr>
    </w:pPr>
  </w:style>
  <w:style w:type="paragraph" w:styleId="ListBullet2">
    <w:name w:val="List Bullet 2"/>
    <w:basedOn w:val="Normal"/>
    <w:rsid w:val="002D2749"/>
    <w:pPr>
      <w:numPr>
        <w:numId w:val="2"/>
      </w:numPr>
    </w:pPr>
  </w:style>
  <w:style w:type="paragraph" w:styleId="ListBullet3">
    <w:name w:val="List Bullet 3"/>
    <w:basedOn w:val="Normal"/>
    <w:rsid w:val="002D2749"/>
    <w:pPr>
      <w:numPr>
        <w:numId w:val="3"/>
      </w:numPr>
    </w:pPr>
  </w:style>
  <w:style w:type="paragraph" w:styleId="ListBullet4">
    <w:name w:val="List Bullet 4"/>
    <w:basedOn w:val="Normal"/>
    <w:rsid w:val="002D2749"/>
    <w:pPr>
      <w:numPr>
        <w:numId w:val="4"/>
      </w:numPr>
    </w:pPr>
  </w:style>
  <w:style w:type="paragraph" w:styleId="ListBullet5">
    <w:name w:val="List Bullet 5"/>
    <w:basedOn w:val="Normal"/>
    <w:rsid w:val="002D2749"/>
    <w:pPr>
      <w:numPr>
        <w:numId w:val="5"/>
      </w:numPr>
    </w:pPr>
  </w:style>
  <w:style w:type="paragraph" w:styleId="ListContinue">
    <w:name w:val="List Continue"/>
    <w:basedOn w:val="Normal"/>
    <w:rsid w:val="002D2749"/>
    <w:pPr>
      <w:spacing w:after="120"/>
      <w:ind w:left="360"/>
    </w:pPr>
  </w:style>
  <w:style w:type="paragraph" w:styleId="ListContinue2">
    <w:name w:val="List Continue 2"/>
    <w:basedOn w:val="Normal"/>
    <w:rsid w:val="002D2749"/>
    <w:pPr>
      <w:spacing w:after="120"/>
      <w:ind w:left="720"/>
    </w:pPr>
  </w:style>
  <w:style w:type="paragraph" w:styleId="ListContinue3">
    <w:name w:val="List Continue 3"/>
    <w:basedOn w:val="Normal"/>
    <w:rsid w:val="002D2749"/>
    <w:pPr>
      <w:spacing w:after="120"/>
      <w:ind w:left="1080"/>
    </w:pPr>
  </w:style>
  <w:style w:type="paragraph" w:styleId="ListContinue4">
    <w:name w:val="List Continue 4"/>
    <w:basedOn w:val="Normal"/>
    <w:rsid w:val="002D2749"/>
    <w:pPr>
      <w:spacing w:after="120"/>
      <w:ind w:left="1440"/>
    </w:pPr>
  </w:style>
  <w:style w:type="paragraph" w:styleId="ListContinue5">
    <w:name w:val="List Continue 5"/>
    <w:basedOn w:val="Normal"/>
    <w:rsid w:val="002D2749"/>
    <w:pPr>
      <w:spacing w:after="120"/>
      <w:ind w:left="1800"/>
    </w:pPr>
  </w:style>
  <w:style w:type="paragraph" w:styleId="ListNumber">
    <w:name w:val="List Number"/>
    <w:basedOn w:val="Normal"/>
    <w:rsid w:val="002D2749"/>
    <w:pPr>
      <w:numPr>
        <w:numId w:val="6"/>
      </w:numPr>
    </w:pPr>
  </w:style>
  <w:style w:type="paragraph" w:styleId="ListNumber2">
    <w:name w:val="List Number 2"/>
    <w:basedOn w:val="Normal"/>
    <w:rsid w:val="002D2749"/>
    <w:pPr>
      <w:numPr>
        <w:numId w:val="7"/>
      </w:numPr>
    </w:pPr>
  </w:style>
  <w:style w:type="paragraph" w:styleId="ListNumber3">
    <w:name w:val="List Number 3"/>
    <w:basedOn w:val="Normal"/>
    <w:rsid w:val="002D2749"/>
    <w:pPr>
      <w:numPr>
        <w:numId w:val="8"/>
      </w:numPr>
    </w:pPr>
  </w:style>
  <w:style w:type="paragraph" w:styleId="ListNumber4">
    <w:name w:val="List Number 4"/>
    <w:basedOn w:val="Normal"/>
    <w:rsid w:val="002D2749"/>
    <w:pPr>
      <w:numPr>
        <w:numId w:val="9"/>
      </w:numPr>
    </w:pPr>
  </w:style>
  <w:style w:type="paragraph" w:styleId="ListNumber5">
    <w:name w:val="List Number 5"/>
    <w:basedOn w:val="Normal"/>
    <w:rsid w:val="002D2749"/>
    <w:pPr>
      <w:numPr>
        <w:numId w:val="10"/>
      </w:numPr>
    </w:pPr>
  </w:style>
  <w:style w:type="paragraph" w:styleId="MacroText">
    <w:name w:val="macro"/>
    <w:semiHidden/>
    <w:rsid w:val="002D274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2D274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2D2749"/>
    <w:rPr>
      <w:sz w:val="24"/>
      <w:szCs w:val="24"/>
    </w:rPr>
  </w:style>
  <w:style w:type="paragraph" w:styleId="NormalIndent">
    <w:name w:val="Normal Indent"/>
    <w:basedOn w:val="Normal"/>
    <w:rsid w:val="002D2749"/>
    <w:pPr>
      <w:ind w:left="720"/>
    </w:pPr>
  </w:style>
  <w:style w:type="paragraph" w:styleId="NoteHeading">
    <w:name w:val="Note Heading"/>
    <w:basedOn w:val="Normal"/>
    <w:next w:val="Normal"/>
    <w:rsid w:val="002D2749"/>
  </w:style>
  <w:style w:type="paragraph" w:styleId="PlainText">
    <w:name w:val="Plain Text"/>
    <w:basedOn w:val="Normal"/>
    <w:rsid w:val="002D2749"/>
    <w:rPr>
      <w:rFonts w:ascii="Courier New" w:hAnsi="Courier New" w:cs="Courier New"/>
      <w:sz w:val="20"/>
    </w:rPr>
  </w:style>
  <w:style w:type="paragraph" w:styleId="Salutation">
    <w:name w:val="Salutation"/>
    <w:basedOn w:val="Normal"/>
    <w:next w:val="Normal"/>
    <w:rsid w:val="002D2749"/>
  </w:style>
  <w:style w:type="paragraph" w:styleId="Signature">
    <w:name w:val="Signature"/>
    <w:basedOn w:val="Normal"/>
    <w:rsid w:val="002D2749"/>
    <w:pPr>
      <w:ind w:left="4320"/>
    </w:pPr>
  </w:style>
  <w:style w:type="paragraph" w:styleId="Subtitle">
    <w:name w:val="Subtitle"/>
    <w:basedOn w:val="Normal"/>
    <w:qFormat/>
    <w:rsid w:val="002D274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2D2749"/>
    <w:pPr>
      <w:ind w:left="220" w:hanging="220"/>
    </w:pPr>
  </w:style>
  <w:style w:type="paragraph" w:styleId="TableofFigures">
    <w:name w:val="table of figures"/>
    <w:basedOn w:val="Normal"/>
    <w:next w:val="Normal"/>
    <w:semiHidden/>
    <w:rsid w:val="002D2749"/>
  </w:style>
  <w:style w:type="paragraph" w:styleId="Title">
    <w:name w:val="Title"/>
    <w:basedOn w:val="Normal"/>
    <w:qFormat/>
    <w:rsid w:val="002D274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2D2749"/>
    <w:pPr>
      <w:spacing w:before="120"/>
    </w:pPr>
    <w:rPr>
      <w:rFonts w:ascii="Arial" w:hAnsi="Arial" w:cs="Arial"/>
      <w:b/>
      <w:bCs/>
      <w:sz w:val="24"/>
      <w:szCs w:val="24"/>
    </w:rPr>
  </w:style>
  <w:style w:type="paragraph" w:styleId="TOC1">
    <w:name w:val="toc 1"/>
    <w:basedOn w:val="Normal"/>
    <w:next w:val="Normal"/>
    <w:autoRedefine/>
    <w:semiHidden/>
    <w:rsid w:val="002D2749"/>
  </w:style>
  <w:style w:type="paragraph" w:styleId="TOC2">
    <w:name w:val="toc 2"/>
    <w:basedOn w:val="Normal"/>
    <w:next w:val="Normal"/>
    <w:autoRedefine/>
    <w:semiHidden/>
    <w:rsid w:val="002D2749"/>
    <w:pPr>
      <w:ind w:left="220"/>
    </w:pPr>
  </w:style>
  <w:style w:type="paragraph" w:styleId="TOC3">
    <w:name w:val="toc 3"/>
    <w:basedOn w:val="Normal"/>
    <w:next w:val="Normal"/>
    <w:autoRedefine/>
    <w:semiHidden/>
    <w:rsid w:val="002D2749"/>
    <w:pPr>
      <w:ind w:left="440"/>
    </w:pPr>
  </w:style>
  <w:style w:type="paragraph" w:styleId="TOC4">
    <w:name w:val="toc 4"/>
    <w:basedOn w:val="Normal"/>
    <w:next w:val="Normal"/>
    <w:autoRedefine/>
    <w:semiHidden/>
    <w:rsid w:val="002D2749"/>
    <w:pPr>
      <w:ind w:left="660"/>
    </w:pPr>
  </w:style>
  <w:style w:type="paragraph" w:styleId="TOC5">
    <w:name w:val="toc 5"/>
    <w:basedOn w:val="Normal"/>
    <w:next w:val="Normal"/>
    <w:autoRedefine/>
    <w:semiHidden/>
    <w:rsid w:val="002D2749"/>
    <w:pPr>
      <w:ind w:left="880"/>
    </w:pPr>
  </w:style>
  <w:style w:type="paragraph" w:styleId="TOC6">
    <w:name w:val="toc 6"/>
    <w:basedOn w:val="Normal"/>
    <w:next w:val="Normal"/>
    <w:autoRedefine/>
    <w:semiHidden/>
    <w:rsid w:val="002D2749"/>
    <w:pPr>
      <w:ind w:left="1100"/>
    </w:pPr>
  </w:style>
  <w:style w:type="paragraph" w:styleId="TOC7">
    <w:name w:val="toc 7"/>
    <w:basedOn w:val="Normal"/>
    <w:next w:val="Normal"/>
    <w:autoRedefine/>
    <w:semiHidden/>
    <w:rsid w:val="002D2749"/>
    <w:pPr>
      <w:ind w:left="1320"/>
    </w:pPr>
  </w:style>
  <w:style w:type="paragraph" w:styleId="TOC8">
    <w:name w:val="toc 8"/>
    <w:basedOn w:val="Normal"/>
    <w:next w:val="Normal"/>
    <w:autoRedefine/>
    <w:semiHidden/>
    <w:rsid w:val="002D2749"/>
    <w:pPr>
      <w:ind w:left="1540"/>
    </w:pPr>
  </w:style>
  <w:style w:type="paragraph" w:styleId="TOC9">
    <w:name w:val="toc 9"/>
    <w:basedOn w:val="Normal"/>
    <w:next w:val="Normal"/>
    <w:autoRedefine/>
    <w:semiHidden/>
    <w:rsid w:val="002D2749"/>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4</cp:revision>
  <cp:lastPrinted>2004-08-01T22:54:00Z</cp:lastPrinted>
  <dcterms:created xsi:type="dcterms:W3CDTF">2016-02-24T01:01:00Z</dcterms:created>
  <dcterms:modified xsi:type="dcterms:W3CDTF">2016-02-24T01:07:00Z</dcterms:modified>
</cp:coreProperties>
</file>