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D4C" w:rsidRDefault="00B34D4C">
      <w:pPr>
        <w:pStyle w:val="RTiSWDocChapterTitle"/>
      </w:pPr>
      <w:r>
        <w:t xml:space="preserve">Command Reference: </w:t>
      </w:r>
      <w:r w:rsidR="00E66ADC">
        <w:t xml:space="preserve"> </w:t>
      </w:r>
      <w:proofErr w:type="gramStart"/>
      <w:r w:rsidR="00E66ADC">
        <w:t>C</w:t>
      </w:r>
      <w:r>
        <w:t>opy()</w:t>
      </w:r>
      <w:proofErr w:type="gramEnd"/>
    </w:p>
    <w:p w:rsidR="00B34D4C" w:rsidRDefault="00B34D4C">
      <w:pPr>
        <w:pStyle w:val="RTiSWDocChapterSubtitle"/>
      </w:pPr>
      <w:r>
        <w:t>Create a new time series as a copy of a</w:t>
      </w:r>
      <w:r w:rsidR="006A2377">
        <w:t>n existing</w:t>
      </w:r>
      <w:r>
        <w:t xml:space="preserve"> time series</w:t>
      </w:r>
    </w:p>
    <w:p w:rsidR="00B34D4C" w:rsidRDefault="00B34D4C">
      <w:pPr>
        <w:pStyle w:val="RTiSWDocNote"/>
      </w:pPr>
      <w:r>
        <w:t xml:space="preserve">Version </w:t>
      </w:r>
      <w:r w:rsidR="006A2377">
        <w:t>1</w:t>
      </w:r>
      <w:r w:rsidR="009C5965">
        <w:t>1</w:t>
      </w:r>
      <w:r>
        <w:t>.</w:t>
      </w:r>
      <w:r w:rsidR="006A2377">
        <w:t>0</w:t>
      </w:r>
      <w:r w:rsidR="009C5965">
        <w:t>3</w:t>
      </w:r>
      <w:r>
        <w:t>.0</w:t>
      </w:r>
      <w:r w:rsidR="006A2377">
        <w:t>0</w:t>
      </w:r>
      <w:r>
        <w:t>, 20</w:t>
      </w:r>
      <w:r w:rsidR="0031208F">
        <w:t>1</w:t>
      </w:r>
      <w:r w:rsidR="009C5965">
        <w:t>5</w:t>
      </w:r>
      <w:r>
        <w:t>-0</w:t>
      </w:r>
      <w:r w:rsidR="009C5965">
        <w:t>6</w:t>
      </w:r>
      <w:r>
        <w:t>-</w:t>
      </w:r>
      <w:r w:rsidR="009C5965">
        <w:t>01</w:t>
      </w:r>
    </w:p>
    <w:p w:rsidR="00B34D4C" w:rsidRDefault="00B34D4C">
      <w:pPr>
        <w:rPr>
          <w:b/>
        </w:rPr>
      </w:pPr>
    </w:p>
    <w:p w:rsidR="00B34D4C" w:rsidRDefault="00B34D4C">
      <w:pPr>
        <w:numPr>
          <w:ilvl w:val="12"/>
          <w:numId w:val="0"/>
        </w:numPr>
      </w:pPr>
      <w:r>
        <w:t xml:space="preserve">The </w:t>
      </w:r>
      <w:proofErr w:type="gramStart"/>
      <w:r w:rsidR="00E66ADC">
        <w:rPr>
          <w:rStyle w:val="RTiSWDocLiteralText"/>
        </w:rPr>
        <w:t>C</w:t>
      </w:r>
      <w:r>
        <w:rPr>
          <w:rStyle w:val="RTiSWDocLiteralText"/>
        </w:rPr>
        <w:t>opy(</w:t>
      </w:r>
      <w:proofErr w:type="gramEnd"/>
      <w:r>
        <w:rPr>
          <w:rStyle w:val="RTiSWDocLiteralText"/>
        </w:rPr>
        <w:t>)</w:t>
      </w:r>
      <w:r>
        <w:t xml:space="preserve"> command creates a copy of an existing time series, assigning an alias to the result.  The copy is an exact copy except that the alias </w:t>
      </w:r>
      <w:r w:rsidR="00E66ADC">
        <w:t>is</w:t>
      </w:r>
      <w:r>
        <w:t xml:space="preserve"> different</w:t>
      </w:r>
      <w:r w:rsidR="00E66ADC">
        <w:t xml:space="preserve"> (the TSID </w:t>
      </w:r>
      <w:r w:rsidR="0068316A">
        <w:t>must</w:t>
      </w:r>
      <w:r w:rsidR="00E66ADC">
        <w:t xml:space="preserve"> also specified </w:t>
      </w:r>
      <w:r w:rsidR="0068316A">
        <w:t xml:space="preserve">and should be defined </w:t>
      </w:r>
      <w:r w:rsidR="00E66ADC">
        <w:t>to be unique)</w:t>
      </w:r>
      <w:r>
        <w:t>.  The alias can then be used for further time series manipulation.  A copy of a time series is useful when data filling or other manipulation will occur</w:t>
      </w:r>
      <w:r w:rsidR="006A2377">
        <w:t xml:space="preserve"> and time series that is unique from the original is needed.  For example, if adding two time series, a copy of one time series can be made, and the second time series added to the copy – this ensures that there is not confusion with the original time series</w:t>
      </w:r>
      <w:r>
        <w:t>.</w:t>
      </w:r>
      <w:r w:rsidR="0068316A">
        <w:t xml:space="preserve">  Parameters are available to control how much of the original data are copied.</w:t>
      </w:r>
    </w:p>
    <w:p w:rsidR="00B34D4C" w:rsidRDefault="00B34D4C">
      <w:pPr>
        <w:numPr>
          <w:ilvl w:val="12"/>
          <w:numId w:val="0"/>
        </w:numPr>
      </w:pPr>
    </w:p>
    <w:p w:rsidR="00B34D4C" w:rsidRDefault="00B34D4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B34D4C" w:rsidRDefault="00B34D4C">
      <w:pPr>
        <w:numPr>
          <w:ilvl w:val="12"/>
          <w:numId w:val="0"/>
        </w:numPr>
      </w:pPr>
    </w:p>
    <w:p w:rsidR="00B34D4C" w:rsidRDefault="0063325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35980" cy="2895600"/>
            <wp:effectExtent l="0" t="0" r="7620" b="0"/>
            <wp:docPr id="1" name="Picture 1" descr="command_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Cop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D4C" w:rsidRDefault="00E66ADC">
      <w:pPr>
        <w:pStyle w:val="RTiSWDocNote"/>
      </w:pPr>
      <w:r>
        <w:t>C</w:t>
      </w:r>
      <w:r w:rsidR="00B34D4C">
        <w:t>opy</w:t>
      </w:r>
    </w:p>
    <w:p w:rsidR="00B34D4C" w:rsidRDefault="00E66ADC">
      <w:pPr>
        <w:pStyle w:val="RTiSWDocFigureTableTitle"/>
      </w:pPr>
      <w:proofErr w:type="gramStart"/>
      <w:r>
        <w:t>C</w:t>
      </w:r>
      <w:r w:rsidR="00B34D4C">
        <w:t>opy(</w:t>
      </w:r>
      <w:proofErr w:type="gramEnd"/>
      <w:r w:rsidR="00B34D4C">
        <w:t>) Command Editor</w:t>
      </w:r>
    </w:p>
    <w:p w:rsidR="00B34D4C" w:rsidRDefault="00B34D4C">
      <w:pPr>
        <w:numPr>
          <w:ilvl w:val="12"/>
          <w:numId w:val="0"/>
        </w:numPr>
      </w:pPr>
      <w:bookmarkStart w:id="0" w:name="replaceValue"/>
    </w:p>
    <w:p w:rsidR="00B34D4C" w:rsidRDefault="00B34D4C">
      <w:r>
        <w:br w:type="page"/>
      </w:r>
      <w:r>
        <w:lastRenderedPageBreak/>
        <w:t>The command syntax is as follows:</w:t>
      </w:r>
    </w:p>
    <w:p w:rsidR="00B34D4C" w:rsidRDefault="00B34D4C"/>
    <w:p w:rsidR="00B34D4C" w:rsidRDefault="00E66ADC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C</w:t>
      </w:r>
      <w:r w:rsidR="00B34D4C">
        <w:rPr>
          <w:rStyle w:val="RTiSWDocLiteralText"/>
        </w:rPr>
        <w:t>opy(</w:t>
      </w:r>
      <w:proofErr w:type="gramEnd"/>
      <w:r>
        <w:rPr>
          <w:rStyle w:val="RTiSWDocLiteralText"/>
        </w:rPr>
        <w:t>P</w:t>
      </w:r>
      <w:r w:rsidR="00B34D4C">
        <w:rPr>
          <w:rStyle w:val="RTiSWDocLiteralText"/>
        </w:rPr>
        <w:t>aram</w:t>
      </w:r>
      <w:r>
        <w:rPr>
          <w:rStyle w:val="RTiSWDocLiteralText"/>
        </w:rPr>
        <w:t>eter</w:t>
      </w:r>
      <w:r w:rsidR="00B34D4C">
        <w:rPr>
          <w:rStyle w:val="RTiSWDocLiteralText"/>
        </w:rPr>
        <w:t>=</w:t>
      </w:r>
      <w:r>
        <w:rPr>
          <w:rStyle w:val="RTiSWDocLiteralText"/>
        </w:rPr>
        <w:t>V</w:t>
      </w:r>
      <w:r w:rsidR="00B34D4C">
        <w:rPr>
          <w:rStyle w:val="RTiSWDocLiteralText"/>
        </w:rPr>
        <w:t>alue,…)</w:t>
      </w:r>
    </w:p>
    <w:p w:rsidR="00B34D4C" w:rsidRDefault="00B34D4C"/>
    <w:p w:rsidR="006A2377" w:rsidRDefault="006A2377" w:rsidP="006A2377">
      <w:r>
        <w:t>The following older command syntax is updated to the above syntax when a command file is read:</w:t>
      </w:r>
    </w:p>
    <w:p w:rsidR="006A2377" w:rsidRDefault="006A2377" w:rsidP="006A2377"/>
    <w:p w:rsidR="006A2377" w:rsidRDefault="006A2377" w:rsidP="006A2377">
      <w:pPr>
        <w:ind w:left="720"/>
        <w:rPr>
          <w:rStyle w:val="RTiSWDocLiteralText"/>
        </w:rPr>
      </w:pPr>
      <w:r>
        <w:rPr>
          <w:rStyle w:val="RTiSWDocLiteralText"/>
        </w:rPr>
        <w:t xml:space="preserve">TS Alias = </w:t>
      </w:r>
      <w:proofErr w:type="gramStart"/>
      <w:r>
        <w:rPr>
          <w:rStyle w:val="RTiSWDocLiteralText"/>
        </w:rPr>
        <w:t>Copy(</w:t>
      </w:r>
      <w:proofErr w:type="gramEnd"/>
      <w:r>
        <w:rPr>
          <w:rStyle w:val="RTiSWDocLiteralText"/>
        </w:rPr>
        <w:t>Parameter=Value,…)</w:t>
      </w:r>
    </w:p>
    <w:p w:rsidR="006A2377" w:rsidRDefault="006A2377"/>
    <w:p w:rsidR="00B34D4C" w:rsidRDefault="00B34D4C">
      <w:pPr>
        <w:pStyle w:val="RTiSWDocFigureTableTitle"/>
      </w:pPr>
      <w:r>
        <w:t>Command Parameters</w:t>
      </w:r>
    </w:p>
    <w:p w:rsidR="00B34D4C" w:rsidRDefault="00B34D4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3"/>
        <w:gridCol w:w="3882"/>
        <w:gridCol w:w="3192"/>
      </w:tblGrid>
      <w:tr w:rsidR="00B34D4C" w:rsidTr="00D25499">
        <w:trPr>
          <w:jc w:val="center"/>
        </w:trPr>
        <w:tc>
          <w:tcPr>
            <w:tcW w:w="1933" w:type="dxa"/>
            <w:shd w:val="clear" w:color="auto" w:fill="C0C0C0"/>
          </w:tcPr>
          <w:p w:rsidR="00B34D4C" w:rsidRDefault="00B34D4C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B34D4C" w:rsidRDefault="00B34D4C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B34D4C" w:rsidRDefault="00B34D4C">
            <w:pPr>
              <w:pStyle w:val="RTiSWDocTableHeading"/>
            </w:pPr>
            <w:r>
              <w:t>Default</w:t>
            </w:r>
          </w:p>
        </w:tc>
      </w:tr>
      <w:tr w:rsidR="00B34D4C" w:rsidTr="00D25499">
        <w:trPr>
          <w:jc w:val="center"/>
        </w:trPr>
        <w:tc>
          <w:tcPr>
            <w:tcW w:w="1933" w:type="dxa"/>
          </w:tcPr>
          <w:p w:rsidR="00B34D4C" w:rsidRDefault="00B34D4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3882" w:type="dxa"/>
          </w:tcPr>
          <w:p w:rsidR="00B34D4C" w:rsidRDefault="00B34D4C">
            <w:r>
              <w:t>The time series identifier or alias of the time series to copy.  The time series will be found by searching backwards from the copy command.</w:t>
            </w:r>
            <w:r w:rsidR="009C5965">
              <w:t xml:space="preserve">  Can be specified using processor </w:t>
            </w:r>
            <w:r w:rsidR="009C5965" w:rsidRPr="009C5965">
              <w:rPr>
                <w:rStyle w:val="RTiSWDocLiteralText"/>
              </w:rPr>
              <w:t>${Property}</w:t>
            </w:r>
            <w:r w:rsidR="009C5965">
              <w:t>.</w:t>
            </w:r>
          </w:p>
        </w:tc>
        <w:tc>
          <w:tcPr>
            <w:tcW w:w="3192" w:type="dxa"/>
          </w:tcPr>
          <w:p w:rsidR="00B34D4C" w:rsidRDefault="00B34D4C">
            <w:pPr>
              <w:rPr>
                <w:rStyle w:val="RTiSWDocLiteralText"/>
                <w:rFonts w:ascii="Times New Roman" w:hAnsi="Times New Roman"/>
              </w:rPr>
            </w:pPr>
            <w:r>
              <w:t>None – must be specified.</w:t>
            </w:r>
          </w:p>
        </w:tc>
      </w:tr>
      <w:tr w:rsidR="00B34D4C" w:rsidTr="00D25499">
        <w:trPr>
          <w:jc w:val="center"/>
        </w:trPr>
        <w:tc>
          <w:tcPr>
            <w:tcW w:w="1933" w:type="dxa"/>
          </w:tcPr>
          <w:p w:rsidR="00B34D4C" w:rsidRDefault="00B34D4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NewTSID</w:t>
            </w:r>
            <w:proofErr w:type="spellEnd"/>
          </w:p>
        </w:tc>
        <w:tc>
          <w:tcPr>
            <w:tcW w:w="3882" w:type="dxa"/>
          </w:tcPr>
          <w:p w:rsidR="00B34D4C" w:rsidRDefault="00B34D4C">
            <w:r>
              <w:t xml:space="preserve">A new time series identifier to assign to the copy.  This is useful to avoid confusion with the original time series.  Use the </w:t>
            </w:r>
            <w:r>
              <w:rPr>
                <w:rStyle w:val="RTiSWDocGUIReference"/>
              </w:rPr>
              <w:t>Edit</w:t>
            </w:r>
            <w:r>
              <w:t xml:space="preserve"> button to edit the time series identifier parts.  The data interval must match that of the original time series.</w:t>
            </w:r>
            <w:r w:rsidR="009C5965">
              <w:t xml:space="preserve">  </w:t>
            </w:r>
            <w:r w:rsidR="009C5965">
              <w:t xml:space="preserve">Can be specified using processor </w:t>
            </w:r>
            <w:r w:rsidR="009C5965" w:rsidRPr="009C5965">
              <w:rPr>
                <w:rStyle w:val="RTiSWDocLiteralText"/>
              </w:rPr>
              <w:t>${Property}</w:t>
            </w:r>
            <w:r w:rsidR="009C5965">
              <w:t>.</w:t>
            </w:r>
          </w:p>
        </w:tc>
        <w:tc>
          <w:tcPr>
            <w:tcW w:w="3192" w:type="dxa"/>
          </w:tcPr>
          <w:p w:rsidR="00B34D4C" w:rsidRDefault="00B34D4C">
            <w:r>
              <w:t xml:space="preserve">Copy the original time series </w:t>
            </w:r>
            <w:r w:rsidRPr="00A512AD">
              <w:rPr>
                <w:rStyle w:val="RTiSWDocLiteralText"/>
              </w:rPr>
              <w:t>TSID</w:t>
            </w:r>
            <w:r w:rsidR="00A512AD">
              <w:t xml:space="preserve">.  If </w:t>
            </w:r>
            <w:proofErr w:type="spellStart"/>
            <w:r w:rsidR="00A512AD" w:rsidRPr="00A512AD">
              <w:rPr>
                <w:rStyle w:val="RTiSWDocLiteralText"/>
              </w:rPr>
              <w:t>NewTSID</w:t>
            </w:r>
            <w:proofErr w:type="spellEnd"/>
            <w:r w:rsidR="00A512AD">
              <w:t xml:space="preserve"> is specified but does not have a valid interval, copy the interval from </w:t>
            </w:r>
            <w:r w:rsidR="00A512AD" w:rsidRPr="00A512AD">
              <w:rPr>
                <w:rStyle w:val="RTiSWDocLiteralText"/>
              </w:rPr>
              <w:t>TSID</w:t>
            </w:r>
            <w:r>
              <w:t>.</w:t>
            </w:r>
            <w:r w:rsidR="00A512AD">
              <w:t xml:space="preserve">  The default cannot be determined if an alias is used for the input time series.</w:t>
            </w:r>
          </w:p>
        </w:tc>
      </w:tr>
      <w:tr w:rsidR="009B3514" w:rsidTr="00D25499">
        <w:trPr>
          <w:jc w:val="center"/>
        </w:trPr>
        <w:tc>
          <w:tcPr>
            <w:tcW w:w="1933" w:type="dxa"/>
          </w:tcPr>
          <w:p w:rsidR="009B3514" w:rsidRDefault="009B3514" w:rsidP="00E8249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3882" w:type="dxa"/>
          </w:tcPr>
          <w:p w:rsidR="009B3514" w:rsidRDefault="009B3514" w:rsidP="00E82495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  <w:r w:rsidR="009C5965">
              <w:t xml:space="preserve">  </w:t>
            </w:r>
            <w:r w:rsidR="009C5965">
              <w:t xml:space="preserve">Can be specified using processor </w:t>
            </w:r>
            <w:r w:rsidR="009C5965" w:rsidRPr="009C5965">
              <w:rPr>
                <w:rStyle w:val="RTiSWDocLiteralText"/>
              </w:rPr>
              <w:t>${Property}</w:t>
            </w:r>
            <w:r w:rsidR="009C5965">
              <w:t>.</w:t>
            </w:r>
            <w:bookmarkStart w:id="1" w:name="_GoBack"/>
            <w:bookmarkEnd w:id="1"/>
          </w:p>
        </w:tc>
        <w:tc>
          <w:tcPr>
            <w:tcW w:w="3192" w:type="dxa"/>
          </w:tcPr>
          <w:p w:rsidR="009B3514" w:rsidRDefault="009B3514" w:rsidP="00E82495">
            <w:r>
              <w:t>None – must be specified.</w:t>
            </w:r>
          </w:p>
        </w:tc>
      </w:tr>
      <w:tr w:rsidR="009B3514" w:rsidTr="00D25499">
        <w:trPr>
          <w:jc w:val="center"/>
        </w:trPr>
        <w:tc>
          <w:tcPr>
            <w:tcW w:w="1933" w:type="dxa"/>
          </w:tcPr>
          <w:p w:rsidR="009B3514" w:rsidRDefault="009B351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CopyDataFlags</w:t>
            </w:r>
            <w:proofErr w:type="spellEnd"/>
          </w:p>
        </w:tc>
        <w:tc>
          <w:tcPr>
            <w:tcW w:w="3882" w:type="dxa"/>
          </w:tcPr>
          <w:p w:rsidR="009B3514" w:rsidRDefault="009B3514">
            <w:r>
              <w:t xml:space="preserve">Indicates whether data flags are copied.  Specify as </w:t>
            </w:r>
            <w:r w:rsidRPr="00D25499">
              <w:rPr>
                <w:rStyle w:val="RTiSWDocLiteralText"/>
              </w:rPr>
              <w:t>False</w:t>
            </w:r>
            <w:r>
              <w:t xml:space="preserve"> or </w:t>
            </w:r>
            <w:r w:rsidRPr="00D25499">
              <w:rPr>
                <w:rStyle w:val="RTiSWDocLiteralText"/>
              </w:rPr>
              <w:t>True</w:t>
            </w:r>
            <w:r>
              <w:t>.</w:t>
            </w:r>
          </w:p>
        </w:tc>
        <w:tc>
          <w:tcPr>
            <w:tcW w:w="3192" w:type="dxa"/>
          </w:tcPr>
          <w:p w:rsidR="009B3514" w:rsidRPr="00D25499" w:rsidRDefault="009B3514">
            <w:pPr>
              <w:rPr>
                <w:rStyle w:val="RTiSWDocLiteralText"/>
              </w:rPr>
            </w:pPr>
            <w:r w:rsidRPr="00D25499">
              <w:rPr>
                <w:rStyle w:val="RTiSWDocLiteralText"/>
              </w:rPr>
              <w:t>True</w:t>
            </w:r>
          </w:p>
        </w:tc>
      </w:tr>
      <w:tr w:rsidR="009B3514" w:rsidTr="00D25499">
        <w:trPr>
          <w:jc w:val="center"/>
        </w:trPr>
        <w:tc>
          <w:tcPr>
            <w:tcW w:w="1933" w:type="dxa"/>
          </w:tcPr>
          <w:p w:rsidR="009B3514" w:rsidRDefault="009B3514" w:rsidP="0041178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CopyHistory</w:t>
            </w:r>
            <w:proofErr w:type="spellEnd"/>
          </w:p>
        </w:tc>
        <w:tc>
          <w:tcPr>
            <w:tcW w:w="3882" w:type="dxa"/>
          </w:tcPr>
          <w:p w:rsidR="009B3514" w:rsidRDefault="009B3514" w:rsidP="0041178A">
            <w:r>
              <w:t xml:space="preserve">Indicates whether the time series manipulation history is copied.  Specify as </w:t>
            </w:r>
            <w:r w:rsidRPr="00D25499">
              <w:rPr>
                <w:rStyle w:val="RTiSWDocLiteralText"/>
              </w:rPr>
              <w:t>False</w:t>
            </w:r>
            <w:r>
              <w:t xml:space="preserve"> or </w:t>
            </w:r>
            <w:r w:rsidRPr="00D25499">
              <w:rPr>
                <w:rStyle w:val="RTiSWDocLiteralText"/>
              </w:rPr>
              <w:t>True</w:t>
            </w:r>
            <w:r>
              <w:t>.</w:t>
            </w:r>
          </w:p>
        </w:tc>
        <w:tc>
          <w:tcPr>
            <w:tcW w:w="3192" w:type="dxa"/>
          </w:tcPr>
          <w:p w:rsidR="009B3514" w:rsidRPr="00D25499" w:rsidRDefault="009B3514" w:rsidP="0041178A">
            <w:pPr>
              <w:rPr>
                <w:rStyle w:val="RTiSWDocLiteralText"/>
              </w:rPr>
            </w:pPr>
            <w:r w:rsidRPr="00D25499">
              <w:rPr>
                <w:rStyle w:val="RTiSWDocLiteralText"/>
              </w:rPr>
              <w:t>True</w:t>
            </w:r>
          </w:p>
        </w:tc>
      </w:tr>
    </w:tbl>
    <w:p w:rsidR="00B34D4C" w:rsidRDefault="00B34D4C">
      <w:pPr>
        <w:rPr>
          <w:color w:val="C0C0C0"/>
        </w:rPr>
      </w:pPr>
    </w:p>
    <w:p w:rsidR="00B34D4C" w:rsidRDefault="00D25499">
      <w:pPr>
        <w:rPr>
          <w:color w:val="000000"/>
        </w:rPr>
      </w:pPr>
      <w:r>
        <w:rPr>
          <w:color w:val="000000"/>
        </w:rPr>
        <w:t>A sample command</w:t>
      </w:r>
      <w:r w:rsidR="00B34D4C">
        <w:rPr>
          <w:color w:val="000000"/>
        </w:rPr>
        <w:t xml:space="preserve"> file</w:t>
      </w:r>
      <w:r>
        <w:rPr>
          <w:color w:val="000000"/>
        </w:rPr>
        <w:t xml:space="preserve"> to read a time series and make a copy</w:t>
      </w:r>
      <w:r w:rsidR="00B34D4C">
        <w:rPr>
          <w:color w:val="000000"/>
        </w:rPr>
        <w:t xml:space="preserve"> is as follows:</w:t>
      </w:r>
    </w:p>
    <w:p w:rsidR="00B34D4C" w:rsidRDefault="00B34D4C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8"/>
      </w:tblGrid>
      <w:tr w:rsidR="00B34D4C">
        <w:trPr>
          <w:jc w:val="center"/>
        </w:trPr>
        <w:tc>
          <w:tcPr>
            <w:tcW w:w="9018" w:type="dxa"/>
          </w:tcPr>
          <w:p w:rsidR="00B34D4C" w:rsidRDefault="00B34D4C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# 08223000 - RIO GRANDE RIVER AT ALAMOSA</w:t>
            </w:r>
          </w:p>
          <w:p w:rsidR="00B34D4C" w:rsidRDefault="00B34D4C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08223000.DWR.Streamflow.Month~HydroBase</w:t>
            </w:r>
          </w:p>
          <w:p w:rsidR="00B34D4C" w:rsidRDefault="00E66ADC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C</w:t>
            </w:r>
            <w:r w:rsidR="00B34D4C">
              <w:rPr>
                <w:rFonts w:ascii="Courier New" w:eastAsia="MS Mincho" w:hAnsi="Courier New" w:cs="Courier New"/>
                <w:sz w:val="20"/>
              </w:rPr>
              <w:t>opy(</w:t>
            </w:r>
            <w:r w:rsidR="009B3514">
              <w:rPr>
                <w:rFonts w:ascii="Courier New" w:eastAsia="MS Mincho" w:hAnsi="Courier New" w:cs="Courier New"/>
                <w:sz w:val="20"/>
              </w:rPr>
              <w:t>Alias=”</w:t>
            </w:r>
            <w:proofErr w:type="spellStart"/>
            <w:r w:rsidR="009B3514">
              <w:rPr>
                <w:rFonts w:ascii="Courier New" w:eastAsia="MS Mincho" w:hAnsi="Courier New" w:cs="Courier New"/>
                <w:sz w:val="20"/>
              </w:rPr>
              <w:t>Filled”,</w:t>
            </w:r>
            <w:r w:rsidR="00B34D4C">
              <w:rPr>
                <w:rFonts w:ascii="Courier New" w:eastAsia="MS Mincho" w:hAnsi="Courier New" w:cs="Courier New"/>
                <w:sz w:val="20"/>
              </w:rPr>
              <w:t>TSID</w:t>
            </w:r>
            <w:proofErr w:type="spellEnd"/>
            <w:r w:rsidR="00B34D4C">
              <w:rPr>
                <w:rFonts w:ascii="Courier New" w:eastAsia="MS Mincho" w:hAnsi="Courier New" w:cs="Courier New"/>
                <w:sz w:val="20"/>
              </w:rPr>
              <w:t>="08223000.DWR.Streamflow.Month",</w:t>
            </w:r>
          </w:p>
          <w:p w:rsidR="00B34D4C" w:rsidRDefault="0068316A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    </w:t>
            </w:r>
            <w:proofErr w:type="spellStart"/>
            <w:r w:rsidR="00B34D4C">
              <w:rPr>
                <w:rFonts w:ascii="Courier New" w:eastAsia="MS Mincho" w:hAnsi="Courier New" w:cs="Courier New"/>
                <w:sz w:val="20"/>
              </w:rPr>
              <w:t>NewTSID</w:t>
            </w:r>
            <w:proofErr w:type="spellEnd"/>
            <w:r w:rsidR="00B34D4C">
              <w:rPr>
                <w:rFonts w:ascii="Courier New" w:eastAsia="MS Mincho" w:hAnsi="Courier New" w:cs="Courier New"/>
                <w:sz w:val="20"/>
              </w:rPr>
              <w:t>="08223000.DWR.Streamflow.Month.Filled")</w:t>
            </w:r>
          </w:p>
        </w:tc>
      </w:tr>
    </w:tbl>
    <w:p w:rsidR="00B34D4C" w:rsidRDefault="00B34D4C">
      <w:pPr>
        <w:rPr>
          <w:color w:val="000000"/>
        </w:rPr>
      </w:pPr>
    </w:p>
    <w:bookmarkEnd w:id="0"/>
    <w:p w:rsidR="00B34D4C" w:rsidRDefault="00B34D4C">
      <w:pPr>
        <w:rPr>
          <w:color w:val="C0C0C0"/>
        </w:rPr>
      </w:pPr>
    </w:p>
    <w:sectPr w:rsidR="00B34D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E40" w:rsidRDefault="00D14E40">
      <w:r>
        <w:separator/>
      </w:r>
    </w:p>
  </w:endnote>
  <w:endnote w:type="continuationSeparator" w:id="0">
    <w:p w:rsidR="00D14E40" w:rsidRDefault="00D1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D4C" w:rsidRDefault="00E66ADC">
    <w:pPr>
      <w:pStyle w:val="RTiSWDocFooter"/>
    </w:pPr>
    <w:r>
      <w:t>Command Reference –</w:t>
    </w:r>
    <w:r w:rsidR="006A2377">
      <w:t xml:space="preserve"> </w:t>
    </w:r>
    <w:proofErr w:type="gramStart"/>
    <w:r>
      <w:t>C</w:t>
    </w:r>
    <w:r w:rsidR="00B34D4C">
      <w:t>opy(</w:t>
    </w:r>
    <w:proofErr w:type="gramEnd"/>
    <w:r w:rsidR="00B34D4C">
      <w:t xml:space="preserve">) - </w:t>
    </w:r>
    <w:r w:rsidR="00B34D4C">
      <w:fldChar w:fldCharType="begin"/>
    </w:r>
    <w:r w:rsidR="00B34D4C">
      <w:instrText xml:space="preserve"> PAGE </w:instrText>
    </w:r>
    <w:r w:rsidR="00B34D4C">
      <w:fldChar w:fldCharType="separate"/>
    </w:r>
    <w:r w:rsidR="009C5965">
      <w:rPr>
        <w:noProof/>
      </w:rPr>
      <w:t>2</w:t>
    </w:r>
    <w:r w:rsidR="00B34D4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D4C" w:rsidRDefault="00B34D4C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D4C" w:rsidRDefault="00B34D4C">
    <w:pPr>
      <w:pStyle w:val="RTiSWDocFooter"/>
    </w:pPr>
    <w:r>
      <w:tab/>
    </w:r>
    <w:r>
      <w:tab/>
      <w:t>Command Reference –</w:t>
    </w:r>
    <w:r w:rsidR="006A2377">
      <w:t xml:space="preserve"> </w:t>
    </w:r>
    <w:proofErr w:type="gramStart"/>
    <w:r w:rsidR="00E66ADC">
      <w:t>C</w:t>
    </w:r>
    <w:r>
      <w:t>opy(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9C596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E40" w:rsidRDefault="00D14E40">
      <w:r>
        <w:separator/>
      </w:r>
    </w:p>
  </w:footnote>
  <w:footnote w:type="continuationSeparator" w:id="0">
    <w:p w:rsidR="00D14E40" w:rsidRDefault="00D14E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D4C" w:rsidRDefault="00E66ADC">
    <w:pPr>
      <w:pStyle w:val="RTiSWDocHeader"/>
    </w:pPr>
    <w:proofErr w:type="gramStart"/>
    <w:r>
      <w:t>C</w:t>
    </w:r>
    <w:r w:rsidR="00B34D4C">
      <w:t>opy(</w:t>
    </w:r>
    <w:proofErr w:type="gramEnd"/>
    <w:r w:rsidR="00B34D4C">
      <w:t>) Command</w:t>
    </w:r>
    <w:r w:rsidR="00B34D4C">
      <w:tab/>
    </w:r>
    <w:r w:rsidR="00B34D4C">
      <w:tab/>
    </w:r>
    <w:proofErr w:type="spellStart"/>
    <w:r w:rsidR="00B34D4C">
      <w:t>TSTool</w:t>
    </w:r>
    <w:proofErr w:type="spellEnd"/>
    <w:r w:rsidR="00B34D4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D4C" w:rsidRDefault="00B34D4C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D4C" w:rsidRDefault="00B34D4C">
    <w:pPr>
      <w:pStyle w:val="RTiSWDoc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DC"/>
    <w:rsid w:val="0031208F"/>
    <w:rsid w:val="0031409D"/>
    <w:rsid w:val="0041178A"/>
    <w:rsid w:val="0063325B"/>
    <w:rsid w:val="0068316A"/>
    <w:rsid w:val="006A2377"/>
    <w:rsid w:val="009B3514"/>
    <w:rsid w:val="009C5965"/>
    <w:rsid w:val="00A005C4"/>
    <w:rsid w:val="00A512AD"/>
    <w:rsid w:val="00AC11DB"/>
    <w:rsid w:val="00B34D4C"/>
    <w:rsid w:val="00D14E40"/>
    <w:rsid w:val="00D25499"/>
    <w:rsid w:val="00E66ADC"/>
    <w:rsid w:val="00E8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642DC5-F3F6-47FA-B896-1146FD1D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2015-06-02T11:21:00Z</dcterms:created>
  <dcterms:modified xsi:type="dcterms:W3CDTF">2015-06-02T11:23:00Z</dcterms:modified>
</cp:coreProperties>
</file>