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proofErr w:type="spellStart"/>
      <w:proofErr w:type="gramStart"/>
      <w:r w:rsidR="00ED540C">
        <w:t>End</w:t>
      </w:r>
      <w:r w:rsidR="00042D1C">
        <w:t>For</w:t>
      </w:r>
      <w:proofErr w:type="spellEnd"/>
      <w:r w:rsidR="00197B5F">
        <w:t>()</w:t>
      </w:r>
      <w:proofErr w:type="gramEnd"/>
    </w:p>
    <w:p w:rsidR="00197B5F" w:rsidRDefault="00ED540C">
      <w:pPr>
        <w:pStyle w:val="RTiSWDocChapterSubtitle"/>
      </w:pPr>
      <w:r>
        <w:t>End</w:t>
      </w:r>
      <w:r w:rsidR="00A20DFC">
        <w:t xml:space="preserve"> a block of commands as part of a “</w:t>
      </w:r>
      <w:r w:rsidR="00042D1C">
        <w:t>for</w:t>
      </w:r>
      <w:r w:rsidR="00A20DFC">
        <w:t>”</w:t>
      </w:r>
      <w:r w:rsidR="00042D1C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10</w:t>
      </w:r>
      <w:r>
        <w:t>.</w:t>
      </w:r>
      <w:r w:rsidR="00042D1C">
        <w:t>31</w:t>
      </w:r>
      <w:r>
        <w:t>.0</w:t>
      </w:r>
      <w:r w:rsidR="005A23A2">
        <w:t>0</w:t>
      </w:r>
      <w:r>
        <w:t>, 20</w:t>
      </w:r>
      <w:r w:rsidR="00200033">
        <w:t>1</w:t>
      </w:r>
      <w:r w:rsidR="00042D1C">
        <w:t>4</w:t>
      </w:r>
      <w:r>
        <w:t>-</w:t>
      </w:r>
      <w:r w:rsidR="00042D1C">
        <w:t>06</w:t>
      </w:r>
      <w:r>
        <w:t>-</w:t>
      </w:r>
      <w:r w:rsidR="00042D1C">
        <w:t>29</w:t>
      </w:r>
    </w:p>
    <w:p w:rsidR="00197B5F" w:rsidRDefault="00197B5F"/>
    <w:p w:rsidR="00ED540C" w:rsidRDefault="00197B5F" w:rsidP="00ED540C">
      <w:r>
        <w:t xml:space="preserve">The </w:t>
      </w:r>
      <w:proofErr w:type="spellStart"/>
      <w:proofErr w:type="gramStart"/>
      <w:r w:rsidR="00ED540C">
        <w:rPr>
          <w:rStyle w:val="RTiSWDocLiteralText"/>
        </w:rPr>
        <w:t>End</w:t>
      </w:r>
      <w:r w:rsidR="00042D1C">
        <w:rPr>
          <w:rStyle w:val="RTiSWDocLiteralText"/>
        </w:rPr>
        <w:t>For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ED540C">
        <w:t>ends</w:t>
      </w:r>
      <w:r w:rsidR="00A20DFC">
        <w:t xml:space="preserve"> </w:t>
      </w:r>
      <w:r w:rsidR="00ED540C">
        <w:t>a block of commands that start with a</w:t>
      </w:r>
      <w:r w:rsidR="00A20DFC">
        <w:t xml:space="preserve"> </w:t>
      </w:r>
      <w:r w:rsidR="00042D1C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</w:t>
      </w:r>
      <w:r w:rsidR="00ED540C">
        <w:t>command.</w:t>
      </w:r>
      <w:r w:rsidR="00A20DFC">
        <w:t xml:space="preserve">  The </w:t>
      </w:r>
      <w:proofErr w:type="gramStart"/>
      <w:r w:rsidR="00042D1C">
        <w:rPr>
          <w:rStyle w:val="RTiSWDocLiteralText"/>
        </w:rPr>
        <w:t>For</w:t>
      </w:r>
      <w:r w:rsidR="00A20DFC" w:rsidRPr="00A20DFC">
        <w:rPr>
          <w:rStyle w:val="RTiSWDocLiteralText"/>
        </w:rPr>
        <w:t>(</w:t>
      </w:r>
      <w:proofErr w:type="gramEnd"/>
      <w:r w:rsidR="00A20DFC" w:rsidRPr="00A20DFC">
        <w:rPr>
          <w:rStyle w:val="RTiSWDocLiteralText"/>
        </w:rPr>
        <w:t>)</w:t>
      </w:r>
      <w:r w:rsidR="00A20DFC">
        <w:t xml:space="preserve"> and </w:t>
      </w:r>
      <w:proofErr w:type="spellStart"/>
      <w:r w:rsidR="00042D1C">
        <w:rPr>
          <w:rStyle w:val="RTiSWDocLiteralText"/>
        </w:rPr>
        <w:t>EndFor</w:t>
      </w:r>
      <w:proofErr w:type="spellEnd"/>
      <w:r w:rsidR="00A20DFC" w:rsidRPr="00A20DFC">
        <w:rPr>
          <w:rStyle w:val="RTiSWDocLiteralText"/>
        </w:rPr>
        <w:t>()</w:t>
      </w:r>
      <w:r w:rsidR="00A20DFC">
        <w:t xml:space="preserve">commands must have the same value for the </w:t>
      </w:r>
      <w:r w:rsidR="00A20DFC" w:rsidRPr="00A20DFC">
        <w:rPr>
          <w:rStyle w:val="RTiSWDocLiteralText"/>
        </w:rPr>
        <w:t>Name</w:t>
      </w:r>
      <w:r w:rsidR="00A20DFC">
        <w:t xml:space="preserve"> parameter to allow </w:t>
      </w:r>
      <w:proofErr w:type="spellStart"/>
      <w:r w:rsidR="00A20DFC">
        <w:t>TSTool</w:t>
      </w:r>
      <w:proofErr w:type="spellEnd"/>
      <w:r w:rsidR="00A20DFC">
        <w:t xml:space="preserve"> to determine the start and end of the block</w:t>
      </w:r>
      <w:r w:rsidR="00ED540C">
        <w:t>.</w:t>
      </w:r>
    </w:p>
    <w:p w:rsidR="00ED540C" w:rsidRDefault="00ED540C" w:rsidP="00ED540C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197B5F" w:rsidRDefault="00042D1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1948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EndF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97B5F" w:rsidRDefault="00ED540C">
      <w:pPr>
        <w:pStyle w:val="RTiSWDocNote"/>
      </w:pPr>
      <w:proofErr w:type="spellStart"/>
      <w:r>
        <w:t>End</w:t>
      </w:r>
      <w:r w:rsidR="00042D1C">
        <w:t>For</w:t>
      </w:r>
      <w:proofErr w:type="spellEnd"/>
    </w:p>
    <w:p w:rsidR="00197B5F" w:rsidRDefault="00ED540C">
      <w:pPr>
        <w:pStyle w:val="RTiSWDocFigureTableTitle"/>
      </w:pPr>
      <w:proofErr w:type="spellStart"/>
      <w:proofErr w:type="gramStart"/>
      <w:r>
        <w:t>End</w:t>
      </w:r>
      <w:r w:rsidR="00042D1C">
        <w:t>For</w:t>
      </w:r>
      <w:proofErr w:type="spellEnd"/>
      <w:r w:rsidR="00197B5F">
        <w:t>(</w:t>
      </w:r>
      <w:proofErr w:type="gramEnd"/>
      <w:r w:rsidR="00197B5F">
        <w:t>) Command Editor</w:t>
      </w:r>
    </w:p>
    <w:p w:rsidR="00197B5F" w:rsidRDefault="00197B5F">
      <w:pPr>
        <w:numPr>
          <w:ilvl w:val="12"/>
          <w:numId w:val="0"/>
        </w:numPr>
      </w:pPr>
      <w:bookmarkStart w:id="1" w:name="replaceValue"/>
    </w:p>
    <w:p w:rsidR="00197B5F" w:rsidRDefault="00197B5F">
      <w:r>
        <w:t>The command syntax is as follows:</w:t>
      </w:r>
    </w:p>
    <w:p w:rsidR="00197B5F" w:rsidRDefault="00197B5F"/>
    <w:p w:rsidR="00197B5F" w:rsidRDefault="00ED540C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End</w:t>
      </w:r>
      <w:r w:rsidR="00042D1C">
        <w:rPr>
          <w:rStyle w:val="RTiSWDocLiteralText"/>
        </w:rPr>
        <w:t>For</w:t>
      </w:r>
      <w:proofErr w:type="spellEnd"/>
      <w:r w:rsidR="00197B5F">
        <w:rPr>
          <w:rStyle w:val="RTiSWDocLiteralText"/>
        </w:rPr>
        <w:t>(</w:t>
      </w:r>
      <w:proofErr w:type="gramEnd"/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3882"/>
        <w:gridCol w:w="3192"/>
      </w:tblGrid>
      <w:tr w:rsidR="00197B5F">
        <w:trPr>
          <w:jc w:val="center"/>
        </w:trPr>
        <w:tc>
          <w:tcPr>
            <w:tcW w:w="219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8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92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>
        <w:trPr>
          <w:jc w:val="center"/>
        </w:trPr>
        <w:tc>
          <w:tcPr>
            <w:tcW w:w="2197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82" w:type="dxa"/>
          </w:tcPr>
          <w:p w:rsidR="00197B5F" w:rsidRDefault="006B0DF0" w:rsidP="00042D1C">
            <w:r>
              <w:t xml:space="preserve">The </w:t>
            </w:r>
            <w:r w:rsidR="00BF1114">
              <w:t xml:space="preserve">name </w:t>
            </w:r>
            <w:r w:rsidR="00ED540C">
              <w:t>that</w:t>
            </w:r>
            <w:r w:rsidR="00BF1114">
              <w:t xml:space="preserve"> will be matched with the name of a </w:t>
            </w:r>
            <w:proofErr w:type="gramStart"/>
            <w:r w:rsidR="00042D1C">
              <w:rPr>
                <w:rStyle w:val="RTiSWDocLiteralText"/>
              </w:rPr>
              <w:t>For</w:t>
            </w:r>
            <w:r w:rsidR="00BF1114" w:rsidRPr="00BF1114">
              <w:rPr>
                <w:rStyle w:val="RTiSWDocLiteralText"/>
              </w:rPr>
              <w:t>(</w:t>
            </w:r>
            <w:proofErr w:type="gramEnd"/>
            <w:r w:rsidR="00BF1114" w:rsidRPr="00BF1114">
              <w:rPr>
                <w:rStyle w:val="RTiSWDocLiteralText"/>
              </w:rPr>
              <w:t>)</w:t>
            </w:r>
            <w:r w:rsidR="00BF1114">
              <w:t xml:space="preserve"> command to indicate the block of commands in the “</w:t>
            </w:r>
            <w:r w:rsidR="00042D1C">
              <w:t>for”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92" w:type="dxa"/>
          </w:tcPr>
          <w:p w:rsidR="00197B5F" w:rsidRDefault="00BF1114" w:rsidP="00BF1114">
            <w:r>
              <w:t>None – must be specified.</w:t>
            </w:r>
          </w:p>
        </w:tc>
      </w:tr>
    </w:tbl>
    <w:p w:rsidR="00197B5F" w:rsidRDefault="00197B5F">
      <w:pPr>
        <w:rPr>
          <w:color w:val="C0C0C0"/>
        </w:rPr>
      </w:pPr>
    </w:p>
    <w:p w:rsidR="00066074" w:rsidRPr="00066074" w:rsidRDefault="00066074">
      <w:pPr>
        <w:rPr>
          <w:color w:val="000000" w:themeColor="text1"/>
        </w:rPr>
      </w:pPr>
    </w:p>
    <w:bookmarkEnd w:id="1"/>
    <w:p w:rsidR="00ED540C" w:rsidRDefault="00ED540C">
      <w:pPr>
        <w:rPr>
          <w:color w:val="C0C0C0"/>
        </w:rPr>
      </w:pPr>
      <w:r>
        <w:rPr>
          <w:color w:val="C0C0C0"/>
        </w:rPr>
        <w:br w:type="page"/>
      </w:r>
    </w:p>
    <w:p w:rsidR="006B0DF0" w:rsidRDefault="006B0DF0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BF1114">
      <w:pPr>
        <w:rPr>
          <w:color w:val="C0C0C0"/>
        </w:rPr>
      </w:pPr>
    </w:p>
    <w:p w:rsidR="00ED540C" w:rsidRDefault="00ED540C" w:rsidP="00ED540C">
      <w:pPr>
        <w:jc w:val="center"/>
        <w:rPr>
          <w:color w:val="C0C0C0"/>
        </w:rPr>
      </w:pPr>
      <w:r>
        <w:rPr>
          <w:color w:val="C0C0C0"/>
        </w:rPr>
        <w:t>This page is intentionally blank.</w:t>
      </w:r>
    </w:p>
    <w:sectPr w:rsidR="00ED54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167" w:rsidRDefault="000B4167">
      <w:r>
        <w:separator/>
      </w:r>
    </w:p>
  </w:endnote>
  <w:endnote w:type="continuationSeparator" w:id="0">
    <w:p w:rsidR="000B4167" w:rsidRDefault="000B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proofErr w:type="spellStart"/>
    <w:proofErr w:type="gramStart"/>
    <w:r w:rsidR="00ED540C">
      <w:t>End</w:t>
    </w:r>
    <w:r w:rsidR="00042D1C">
      <w:t>For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042D1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5A23A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ED540C">
      <w:t xml:space="preserve"> </w:t>
    </w:r>
    <w:proofErr w:type="spellStart"/>
    <w:proofErr w:type="gramStart"/>
    <w:r w:rsidR="00ED540C">
      <w:t>End</w:t>
    </w:r>
    <w:r w:rsidR="00042D1C">
      <w:t>For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DA436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167" w:rsidRDefault="000B4167">
      <w:r>
        <w:separator/>
      </w:r>
    </w:p>
  </w:footnote>
  <w:footnote w:type="continuationSeparator" w:id="0">
    <w:p w:rsidR="000B4167" w:rsidRDefault="000B41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ED540C">
    <w:pPr>
      <w:pStyle w:val="RTiSWDocHeader"/>
    </w:pPr>
    <w:proofErr w:type="spellStart"/>
    <w:proofErr w:type="gramStart"/>
    <w:r>
      <w:t>End</w:t>
    </w:r>
    <w:r w:rsidR="00042D1C">
      <w:t>For</w:t>
    </w:r>
    <w:proofErr w:type="spellEnd"/>
    <w:r w:rsidR="00197B5F">
      <w:t>(</w:t>
    </w:r>
    <w:proofErr w:type="gramEnd"/>
    <w:r w:rsidR="00197B5F">
      <w:t>) Command</w:t>
    </w:r>
    <w:r w:rsidR="00197B5F">
      <w:tab/>
    </w:r>
    <w:r w:rsidR="00197B5F">
      <w:tab/>
    </w:r>
    <w:proofErr w:type="spellStart"/>
    <w:r w:rsidR="00197B5F">
      <w:t>TSTool</w:t>
    </w:r>
    <w:proofErr w:type="spellEnd"/>
    <w:r w:rsidR="00197B5F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42D1C"/>
    <w:rsid w:val="00066074"/>
    <w:rsid w:val="000B4167"/>
    <w:rsid w:val="00105582"/>
    <w:rsid w:val="00197B5F"/>
    <w:rsid w:val="00200033"/>
    <w:rsid w:val="00307980"/>
    <w:rsid w:val="005A23A2"/>
    <w:rsid w:val="006B0DF0"/>
    <w:rsid w:val="007A6A40"/>
    <w:rsid w:val="00915FF3"/>
    <w:rsid w:val="00A20DFC"/>
    <w:rsid w:val="00BF1114"/>
    <w:rsid w:val="00C616DC"/>
    <w:rsid w:val="00CF2813"/>
    <w:rsid w:val="00DA4360"/>
    <w:rsid w:val="00DC4F76"/>
    <w:rsid w:val="00DF7001"/>
    <w:rsid w:val="00E13DFD"/>
    <w:rsid w:val="00ED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8</cp:revision>
  <cp:lastPrinted>2004-02-15T21:50:00Z</cp:lastPrinted>
  <dcterms:created xsi:type="dcterms:W3CDTF">2013-12-08T02:45:00Z</dcterms:created>
  <dcterms:modified xsi:type="dcterms:W3CDTF">2014-06-30T05:21:00Z</dcterms:modified>
</cp:coreProperties>
</file>