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66A5" w:rsidRDefault="000866A5">
      <w:pPr>
        <w:pStyle w:val="RTiSWDocChapterTitle"/>
      </w:pPr>
      <w:r>
        <w:t xml:space="preserve">Command Reference: </w:t>
      </w:r>
      <w:r w:rsidR="00AB25B1">
        <w:t xml:space="preserve"> </w:t>
      </w:r>
      <w:proofErr w:type="gramStart"/>
      <w:r w:rsidR="00AB25B1">
        <w:t>E</w:t>
      </w:r>
      <w:r>
        <w:t>xit()</w:t>
      </w:r>
      <w:proofErr w:type="gramEnd"/>
    </w:p>
    <w:p w:rsidR="000866A5" w:rsidRDefault="000866A5">
      <w:pPr>
        <w:pStyle w:val="RTiSWDocChapterSubtitle"/>
      </w:pPr>
      <w:r>
        <w:t xml:space="preserve">Stop </w:t>
      </w:r>
      <w:r w:rsidR="00AB25B1">
        <w:t>p</w:t>
      </w:r>
      <w:r>
        <w:t xml:space="preserve">rocessing </w:t>
      </w:r>
      <w:r w:rsidR="00AB25B1">
        <w:t>c</w:t>
      </w:r>
      <w:r>
        <w:t>ommands</w:t>
      </w:r>
    </w:p>
    <w:p w:rsidR="000866A5" w:rsidRDefault="000866A5" w:rsidP="00AB25B1">
      <w:pPr>
        <w:pStyle w:val="RTiSWDocNote"/>
      </w:pPr>
      <w:r>
        <w:t xml:space="preserve">Version </w:t>
      </w:r>
      <w:r w:rsidR="00357AAB">
        <w:t>11</w:t>
      </w:r>
      <w:r>
        <w:t>.</w:t>
      </w:r>
      <w:r w:rsidR="00357AAB">
        <w:t>03</w:t>
      </w:r>
      <w:r>
        <w:t>.0</w:t>
      </w:r>
      <w:r w:rsidR="00357AAB">
        <w:t>5</w:t>
      </w:r>
      <w:r>
        <w:t>, 20</w:t>
      </w:r>
      <w:r w:rsidR="00357AAB">
        <w:t>15</w:t>
      </w:r>
      <w:r>
        <w:t>-0</w:t>
      </w:r>
      <w:r w:rsidR="00357AAB">
        <w:t>6</w:t>
      </w:r>
      <w:r>
        <w:t>-</w:t>
      </w:r>
      <w:r w:rsidR="00357AAB">
        <w:t>14</w:t>
      </w:r>
    </w:p>
    <w:p w:rsidR="000866A5" w:rsidRDefault="000866A5">
      <w:pPr>
        <w:numPr>
          <w:ilvl w:val="12"/>
          <w:numId w:val="0"/>
        </w:numPr>
      </w:pPr>
    </w:p>
    <w:p w:rsidR="000866A5" w:rsidRDefault="000866A5">
      <w:pPr>
        <w:numPr>
          <w:ilvl w:val="12"/>
          <w:numId w:val="0"/>
        </w:numPr>
      </w:pPr>
      <w:r>
        <w:t xml:space="preserve">The </w:t>
      </w:r>
      <w:proofErr w:type="gramStart"/>
      <w:r w:rsidR="00AB25B1">
        <w:rPr>
          <w:rStyle w:val="RTiSWDocLiteralText"/>
        </w:rPr>
        <w:t>E</w:t>
      </w:r>
      <w:r>
        <w:rPr>
          <w:rStyle w:val="RTiSWDocLiteralText"/>
        </w:rPr>
        <w:t>xit</w:t>
      </w:r>
      <w:r w:rsidR="00AB25B1">
        <w:rPr>
          <w:rStyle w:val="RTiSWDocLiteralText"/>
        </w:rPr>
        <w:t>(</w:t>
      </w:r>
      <w:proofErr w:type="gramEnd"/>
      <w:r w:rsidR="00AB25B1">
        <w:rPr>
          <w:rStyle w:val="RTiSWDocLiteralText"/>
        </w:rPr>
        <w:t>)</w:t>
      </w:r>
      <w:r>
        <w:t xml:space="preserve"> command can be inserted anywhere in a command file and causes the processing of commands to stop at that line.  </w:t>
      </w:r>
      <w:r w:rsidR="00357AAB">
        <w:t xml:space="preserve">An </w:t>
      </w:r>
      <w:proofErr w:type="gramStart"/>
      <w:r w:rsidR="00357AAB" w:rsidRPr="00357AAB">
        <w:rPr>
          <w:rStyle w:val="RTiSWDocLiteralText"/>
        </w:rPr>
        <w:t>Exit(</w:t>
      </w:r>
      <w:proofErr w:type="gramEnd"/>
      <w:r w:rsidR="00357AAB" w:rsidRPr="00357AAB">
        <w:rPr>
          <w:rStyle w:val="RTiSWDocLiteralText"/>
        </w:rPr>
        <w:t>)</w:t>
      </w:r>
      <w:r w:rsidR="00357AAB">
        <w:t xml:space="preserve"> command within an </w:t>
      </w:r>
      <w:r w:rsidR="00357AAB" w:rsidRPr="00357AAB">
        <w:rPr>
          <w:rStyle w:val="RTiSWDocLiteralText"/>
        </w:rPr>
        <w:t>If()</w:t>
      </w:r>
      <w:r w:rsidR="00357AAB">
        <w:t xml:space="preserve"> block will only be executed if the </w:t>
      </w:r>
      <w:r w:rsidR="00357AAB" w:rsidRPr="00357AAB">
        <w:rPr>
          <w:rStyle w:val="RTiSWDocLiteralText"/>
        </w:rPr>
        <w:t>If()</w:t>
      </w:r>
      <w:r w:rsidR="00357AAB">
        <w:t xml:space="preserve"> condition is true.  </w:t>
      </w:r>
      <w:r>
        <w:t>This is useful for temporarily processing a subset of a long list of commands.  Multi-line comments (</w:t>
      </w:r>
      <w:r>
        <w:rPr>
          <w:rStyle w:val="RTiSWDocLiteralText"/>
        </w:rPr>
        <w:t>/*</w:t>
      </w:r>
      <w:r>
        <w:t xml:space="preserve">   </w:t>
      </w:r>
      <w:r>
        <w:rPr>
          <w:rStyle w:val="RTiSWDocLiteralText"/>
        </w:rPr>
        <w:t>*/</w:t>
      </w:r>
      <w:r>
        <w:t xml:space="preserve">) can also be used to temporarily disable one or more commands.  It </w:t>
      </w:r>
      <w:r w:rsidR="00AB25B1">
        <w:t>may</w:t>
      </w:r>
      <w:r>
        <w:t xml:space="preserve"> also useful to add an </w:t>
      </w:r>
      <w:proofErr w:type="gramStart"/>
      <w:r w:rsidR="00AB25B1">
        <w:rPr>
          <w:rStyle w:val="RTiSWDocLiteralText"/>
        </w:rPr>
        <w:t>E</w:t>
      </w:r>
      <w:r>
        <w:rPr>
          <w:rStyle w:val="RTiSWDocLiteralText"/>
        </w:rPr>
        <w:t>xit</w:t>
      </w:r>
      <w:r w:rsidR="00AB25B1">
        <w:rPr>
          <w:rStyle w:val="RTiSWDocLiteralText"/>
        </w:rPr>
        <w:t>(</w:t>
      </w:r>
      <w:proofErr w:type="gramEnd"/>
      <w:r w:rsidR="00AB25B1">
        <w:rPr>
          <w:rStyle w:val="RTiSWDocLiteralText"/>
        </w:rPr>
        <w:t>)</w:t>
      </w:r>
      <w:r>
        <w:t xml:space="preserve"> command at the end of the file so that it is easy to insert commands above this </w:t>
      </w:r>
      <w:r w:rsidR="00787854">
        <w:t xml:space="preserve">command </w:t>
      </w:r>
      <w:r>
        <w:t>when the end line is selected (rather than having to deselect all commands when editing).</w:t>
      </w:r>
      <w:bookmarkStart w:id="0" w:name="replaceValue"/>
    </w:p>
    <w:p w:rsidR="00787854" w:rsidRDefault="00787854">
      <w:pPr>
        <w:numPr>
          <w:ilvl w:val="12"/>
          <w:numId w:val="0"/>
        </w:numPr>
      </w:pPr>
    </w:p>
    <w:p w:rsidR="00787854" w:rsidRDefault="00787854">
      <w:pPr>
        <w:numPr>
          <w:ilvl w:val="12"/>
          <w:numId w:val="0"/>
        </w:numPr>
      </w:pPr>
      <w:r>
        <w:t>In the future the command may be enhanced to have parameters that more explicitly control processing shut-down.</w:t>
      </w:r>
    </w:p>
    <w:p w:rsidR="000866A5" w:rsidRDefault="000866A5">
      <w:pPr>
        <w:numPr>
          <w:ilvl w:val="12"/>
          <w:numId w:val="0"/>
        </w:numPr>
      </w:pPr>
    </w:p>
    <w:p w:rsidR="00787854" w:rsidRDefault="00787854">
      <w:pPr>
        <w:numPr>
          <w:ilvl w:val="12"/>
          <w:numId w:val="0"/>
        </w:numPr>
      </w:pPr>
      <w:r>
        <w:t>The following dialog is used to edit the command and illustrates the command syntax:</w:t>
      </w:r>
    </w:p>
    <w:p w:rsidR="00787854" w:rsidRDefault="00787854">
      <w:pPr>
        <w:numPr>
          <w:ilvl w:val="12"/>
          <w:numId w:val="0"/>
        </w:numPr>
      </w:pPr>
    </w:p>
    <w:p w:rsidR="00787854" w:rsidRDefault="00787854" w:rsidP="00787854">
      <w:pPr>
        <w:numPr>
          <w:ilvl w:val="12"/>
          <w:numId w:val="0"/>
        </w:numPr>
      </w:pPr>
    </w:p>
    <w:p w:rsidR="00787854" w:rsidRDefault="00357AAB" w:rsidP="00787854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drawing>
          <wp:inline distT="0" distB="0" distL="0" distR="0">
            <wp:extent cx="4320540" cy="1514959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Ex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23" cy="15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87854" w:rsidRDefault="00787854" w:rsidP="00787854">
      <w:pPr>
        <w:pStyle w:val="RTiSWDocNote"/>
      </w:pPr>
      <w:r>
        <w:t>Exit</w:t>
      </w:r>
    </w:p>
    <w:p w:rsidR="00787854" w:rsidRDefault="00787854" w:rsidP="00787854">
      <w:pPr>
        <w:pStyle w:val="RTiSWDocFigureTableTitle"/>
      </w:pPr>
      <w:proofErr w:type="gramStart"/>
      <w:r>
        <w:t>Exit(</w:t>
      </w:r>
      <w:proofErr w:type="gramEnd"/>
      <w:r>
        <w:t>) Command Editor</w:t>
      </w:r>
    </w:p>
    <w:p w:rsidR="00787854" w:rsidRDefault="00787854" w:rsidP="00787854">
      <w:pPr>
        <w:numPr>
          <w:ilvl w:val="12"/>
          <w:numId w:val="0"/>
        </w:numPr>
      </w:pPr>
    </w:p>
    <w:p w:rsidR="00787854" w:rsidRDefault="00787854" w:rsidP="00787854">
      <w:r>
        <w:t>The command syntax is as follows:</w:t>
      </w:r>
    </w:p>
    <w:p w:rsidR="00787854" w:rsidRDefault="00787854" w:rsidP="00787854"/>
    <w:p w:rsidR="00787854" w:rsidRDefault="00787854" w:rsidP="00787854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Exit(</w:t>
      </w:r>
      <w:proofErr w:type="gramEnd"/>
      <w:r>
        <w:rPr>
          <w:rStyle w:val="RTiSWDocLiteralText"/>
        </w:rPr>
        <w:t>Parameter=Value,…)</w:t>
      </w:r>
    </w:p>
    <w:p w:rsidR="00787854" w:rsidRDefault="00787854" w:rsidP="00787854"/>
    <w:p w:rsidR="00787854" w:rsidRDefault="00787854" w:rsidP="00787854">
      <w:pPr>
        <w:pStyle w:val="RTiSWDocFigureTableTitle"/>
      </w:pPr>
      <w:r>
        <w:t>Command Parameters</w:t>
      </w:r>
    </w:p>
    <w:p w:rsidR="00787854" w:rsidRDefault="00787854" w:rsidP="007878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6"/>
        <w:gridCol w:w="5504"/>
        <w:gridCol w:w="1810"/>
      </w:tblGrid>
      <w:tr w:rsidR="00787854" w:rsidTr="00787854">
        <w:trPr>
          <w:jc w:val="center"/>
        </w:trPr>
        <w:tc>
          <w:tcPr>
            <w:tcW w:w="2065" w:type="dxa"/>
            <w:shd w:val="clear" w:color="auto" w:fill="C0C0C0"/>
          </w:tcPr>
          <w:p w:rsidR="00787854" w:rsidRDefault="00787854" w:rsidP="00464908">
            <w:pPr>
              <w:pStyle w:val="RTiSWDocTableHeading"/>
            </w:pPr>
            <w:r>
              <w:t>Parameter</w:t>
            </w:r>
          </w:p>
        </w:tc>
        <w:tc>
          <w:tcPr>
            <w:tcW w:w="5667" w:type="dxa"/>
            <w:shd w:val="clear" w:color="auto" w:fill="C0C0C0"/>
          </w:tcPr>
          <w:p w:rsidR="00787854" w:rsidRDefault="00787854" w:rsidP="00464908">
            <w:pPr>
              <w:pStyle w:val="RTiSWDocTableHeading"/>
            </w:pPr>
            <w:r>
              <w:t>Description</w:t>
            </w:r>
          </w:p>
        </w:tc>
        <w:tc>
          <w:tcPr>
            <w:tcW w:w="1844" w:type="dxa"/>
            <w:shd w:val="clear" w:color="auto" w:fill="C0C0C0"/>
          </w:tcPr>
          <w:p w:rsidR="00787854" w:rsidRDefault="00787854" w:rsidP="00464908">
            <w:pPr>
              <w:pStyle w:val="RTiSWDocTableHeading"/>
            </w:pPr>
            <w:r>
              <w:t>Default</w:t>
            </w:r>
          </w:p>
        </w:tc>
      </w:tr>
      <w:tr w:rsidR="00787854" w:rsidTr="00787854">
        <w:trPr>
          <w:jc w:val="center"/>
        </w:trPr>
        <w:tc>
          <w:tcPr>
            <w:tcW w:w="2065" w:type="dxa"/>
          </w:tcPr>
          <w:p w:rsidR="00787854" w:rsidRDefault="00787854" w:rsidP="00464908">
            <w:pPr>
              <w:rPr>
                <w:rStyle w:val="RTiSWDocLiteralText"/>
              </w:rPr>
            </w:pPr>
          </w:p>
        </w:tc>
        <w:tc>
          <w:tcPr>
            <w:tcW w:w="5667" w:type="dxa"/>
          </w:tcPr>
          <w:p w:rsidR="00787854" w:rsidRDefault="00787854" w:rsidP="00464908">
            <w:r>
              <w:t>There are currently no command parameters.</w:t>
            </w:r>
          </w:p>
        </w:tc>
        <w:tc>
          <w:tcPr>
            <w:tcW w:w="1844" w:type="dxa"/>
          </w:tcPr>
          <w:p w:rsidR="00787854" w:rsidRDefault="00787854" w:rsidP="00464908"/>
        </w:tc>
      </w:tr>
    </w:tbl>
    <w:p w:rsidR="00787854" w:rsidRDefault="00787854" w:rsidP="00787854">
      <w:pPr>
        <w:rPr>
          <w:color w:val="000000"/>
        </w:rPr>
      </w:pPr>
    </w:p>
    <w:p w:rsidR="00787854" w:rsidRDefault="00787854" w:rsidP="00787854">
      <w:pPr>
        <w:rPr>
          <w:color w:val="000000"/>
        </w:rPr>
      </w:pPr>
      <w:r>
        <w:rPr>
          <w:color w:val="000000"/>
        </w:rPr>
        <w:t>A sample command file is as follows:</w:t>
      </w:r>
    </w:p>
    <w:p w:rsidR="00787854" w:rsidRDefault="00787854" w:rsidP="0078785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787854" w:rsidTr="00464908">
        <w:trPr>
          <w:jc w:val="center"/>
        </w:trPr>
        <w:tc>
          <w:tcPr>
            <w:tcW w:w="9198" w:type="dxa"/>
          </w:tcPr>
          <w:p w:rsidR="00787854" w:rsidRPr="00A95A00" w:rsidRDefault="00787854" w:rsidP="00464908">
            <w:pPr>
              <w:rPr>
                <w:rFonts w:ascii="Courier New" w:eastAsia="MS Mincho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Exit()</w:t>
            </w:r>
          </w:p>
        </w:tc>
      </w:tr>
    </w:tbl>
    <w:p w:rsidR="00787854" w:rsidRDefault="00787854" w:rsidP="00787854">
      <w:pPr>
        <w:rPr>
          <w:color w:val="C0C0C0"/>
        </w:rPr>
      </w:pPr>
    </w:p>
    <w:p w:rsidR="00787854" w:rsidRDefault="00787854">
      <w:pPr>
        <w:numPr>
          <w:ilvl w:val="12"/>
          <w:numId w:val="0"/>
        </w:numPr>
      </w:pPr>
    </w:p>
    <w:p w:rsidR="000866A5" w:rsidRDefault="000866A5">
      <w:r>
        <w:br w:type="page"/>
      </w:r>
      <w:bookmarkEnd w:id="0"/>
    </w:p>
    <w:p w:rsidR="000866A5" w:rsidRDefault="000866A5">
      <w:pPr>
        <w:rPr>
          <w:color w:val="C0C0C0"/>
        </w:rPr>
      </w:pPr>
    </w:p>
    <w:p w:rsidR="000866A5" w:rsidRDefault="000866A5">
      <w:pPr>
        <w:rPr>
          <w:color w:val="C0C0C0"/>
        </w:rPr>
      </w:pPr>
    </w:p>
    <w:p w:rsidR="000866A5" w:rsidRDefault="000866A5">
      <w:pPr>
        <w:rPr>
          <w:color w:val="C0C0C0"/>
        </w:rPr>
      </w:pPr>
    </w:p>
    <w:p w:rsidR="000866A5" w:rsidRDefault="000866A5">
      <w:pPr>
        <w:rPr>
          <w:color w:val="C0C0C0"/>
        </w:rPr>
      </w:pPr>
    </w:p>
    <w:p w:rsidR="000866A5" w:rsidRDefault="000866A5">
      <w:pPr>
        <w:rPr>
          <w:color w:val="C0C0C0"/>
        </w:rPr>
      </w:pPr>
    </w:p>
    <w:p w:rsidR="000866A5" w:rsidRDefault="000866A5">
      <w:pPr>
        <w:rPr>
          <w:color w:val="C0C0C0"/>
        </w:rPr>
      </w:pPr>
    </w:p>
    <w:p w:rsidR="000866A5" w:rsidRDefault="000866A5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086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3C9" w:rsidRDefault="00BE33C9">
      <w:r>
        <w:separator/>
      </w:r>
    </w:p>
  </w:endnote>
  <w:endnote w:type="continuationSeparator" w:id="0">
    <w:p w:rsidR="00BE33C9" w:rsidRDefault="00BE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Style w:val="RTiSWDocFooter"/>
    </w:pPr>
    <w:r>
      <w:t xml:space="preserve">Command Reference – </w:t>
    </w:r>
    <w:proofErr w:type="gramStart"/>
    <w:r w:rsidR="00AB25B1">
      <w:t>E</w:t>
    </w:r>
    <w:r>
      <w:t>xit(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57AA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8785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Style w:val="RTiSWDocFooter"/>
    </w:pPr>
    <w:r>
      <w:tab/>
    </w:r>
    <w:r>
      <w:tab/>
      <w:t xml:space="preserve">Command Reference – </w:t>
    </w:r>
    <w:proofErr w:type="gramStart"/>
    <w:r w:rsidR="00AB25B1">
      <w:t>E</w:t>
    </w:r>
    <w:r>
      <w:t>xit(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57A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3C9" w:rsidRDefault="00BE33C9">
      <w:r>
        <w:separator/>
      </w:r>
    </w:p>
  </w:footnote>
  <w:footnote w:type="continuationSeparator" w:id="0">
    <w:p w:rsidR="00BE33C9" w:rsidRDefault="00BE3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AB25B1">
    <w:pPr>
      <w:pStyle w:val="RTiSWDocHeader"/>
    </w:pPr>
    <w:proofErr w:type="gramStart"/>
    <w:r>
      <w:t>E</w:t>
    </w:r>
    <w:r w:rsidR="000866A5">
      <w:t>xit(</w:t>
    </w:r>
    <w:proofErr w:type="gramEnd"/>
    <w:r w:rsidR="000866A5">
      <w:t>) Command</w:t>
    </w:r>
    <w:r w:rsidR="000866A5">
      <w:tab/>
    </w:r>
    <w:r w:rsidR="000866A5">
      <w:tab/>
    </w:r>
    <w:proofErr w:type="spellStart"/>
    <w:r w:rsidR="000866A5">
      <w:t>TSTool</w:t>
    </w:r>
    <w:proofErr w:type="spellEnd"/>
    <w:r w:rsidR="000866A5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A5" w:rsidRDefault="000866A5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B1"/>
    <w:rsid w:val="000866A5"/>
    <w:rsid w:val="00141F26"/>
    <w:rsid w:val="00357AAB"/>
    <w:rsid w:val="00464908"/>
    <w:rsid w:val="00787854"/>
    <w:rsid w:val="007A4658"/>
    <w:rsid w:val="00AB25B1"/>
    <w:rsid w:val="00B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01A7B-7502-4C51-9F83-F403BD56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sid w:val="00357AAB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57AAB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2015-06-14T17:57:00Z</dcterms:created>
  <dcterms:modified xsi:type="dcterms:W3CDTF">2015-06-14T18:01:00Z</dcterms:modified>
</cp:coreProperties>
</file>