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6901" w:rsidRDefault="001A68F7">
      <w:pPr>
        <w:pStyle w:val="RTiSWDocChapterTitle"/>
      </w:pPr>
      <w:r>
        <w:t xml:space="preserve">Command Reference:  </w:t>
      </w:r>
      <w:proofErr w:type="spellStart"/>
      <w:proofErr w:type="gramStart"/>
      <w:r>
        <w:t>F</w:t>
      </w:r>
      <w:r w:rsidR="001B6901">
        <w:t>illFromTS</w:t>
      </w:r>
      <w:proofErr w:type="spellEnd"/>
      <w:r w:rsidR="001B6901">
        <w:t>()</w:t>
      </w:r>
      <w:proofErr w:type="gramEnd"/>
    </w:p>
    <w:p w:rsidR="001B6901" w:rsidRDefault="001B6901">
      <w:pPr>
        <w:pStyle w:val="RTiSWDocChapterSubtitle"/>
      </w:pPr>
      <w:r>
        <w:t xml:space="preserve">Fill </w:t>
      </w:r>
      <w:r w:rsidR="001A68F7">
        <w:t>m</w:t>
      </w:r>
      <w:r>
        <w:t xml:space="preserve">issing </w:t>
      </w:r>
      <w:r w:rsidR="001A68F7">
        <w:t>t</w:t>
      </w:r>
      <w:r>
        <w:t xml:space="preserve">ime </w:t>
      </w:r>
      <w:r w:rsidR="001A68F7">
        <w:t>s</w:t>
      </w:r>
      <w:r>
        <w:t xml:space="preserve">eries </w:t>
      </w:r>
      <w:r w:rsidR="001A68F7">
        <w:t>d</w:t>
      </w:r>
      <w:r>
        <w:t xml:space="preserve">ata </w:t>
      </w:r>
      <w:r w:rsidR="001A68F7">
        <w:t>u</w:t>
      </w:r>
      <w:r>
        <w:t xml:space="preserve">sing </w:t>
      </w:r>
      <w:r w:rsidR="001A68F7">
        <w:t>d</w:t>
      </w:r>
      <w:r>
        <w:t xml:space="preserve">ata </w:t>
      </w:r>
      <w:r w:rsidR="001A68F7">
        <w:t>f</w:t>
      </w:r>
      <w:r>
        <w:t xml:space="preserve">rom </w:t>
      </w:r>
      <w:r w:rsidR="001A68F7">
        <w:t>a</w:t>
      </w:r>
      <w:r>
        <w:t xml:space="preserve">nother </w:t>
      </w:r>
      <w:r w:rsidR="001A68F7">
        <w:t>t</w:t>
      </w:r>
      <w:r>
        <w:t xml:space="preserve">ime </w:t>
      </w:r>
      <w:r w:rsidR="001A68F7">
        <w:t>s</w:t>
      </w:r>
      <w:r>
        <w:t>eries</w:t>
      </w:r>
      <w:r w:rsidR="001A68F7">
        <w:t xml:space="preserve"> (or ensemble)</w:t>
      </w:r>
    </w:p>
    <w:p w:rsidR="001B6901" w:rsidRDefault="001B6901">
      <w:pPr>
        <w:pStyle w:val="RTiSWDocNote"/>
      </w:pPr>
      <w:r>
        <w:t xml:space="preserve">Version </w:t>
      </w:r>
      <w:r w:rsidR="003F4C5D">
        <w:t>1</w:t>
      </w:r>
      <w:r w:rsidR="00BF1E6E">
        <w:t>1</w:t>
      </w:r>
      <w:r>
        <w:t>.</w:t>
      </w:r>
      <w:r w:rsidR="001B5861">
        <w:t>0</w:t>
      </w:r>
      <w:r w:rsidR="003F4C5D">
        <w:t>3</w:t>
      </w:r>
      <w:r>
        <w:t>.</w:t>
      </w:r>
      <w:r w:rsidR="00BF1E6E">
        <w:t>1</w:t>
      </w:r>
      <w:r w:rsidR="003F4C5D">
        <w:t>0</w:t>
      </w:r>
      <w:r>
        <w:t>, 20</w:t>
      </w:r>
      <w:r w:rsidR="001B5861">
        <w:t>1</w:t>
      </w:r>
      <w:r w:rsidR="00BF1E6E">
        <w:t>5</w:t>
      </w:r>
      <w:r>
        <w:t>-</w:t>
      </w:r>
      <w:r w:rsidR="00BF1E6E">
        <w:t>06</w:t>
      </w:r>
      <w:r>
        <w:t>-</w:t>
      </w:r>
      <w:r w:rsidR="00BF1E6E">
        <w:t>29</w:t>
      </w:r>
    </w:p>
    <w:p w:rsidR="001B6901" w:rsidRDefault="001B6901">
      <w:pPr>
        <w:rPr>
          <w:b/>
        </w:rPr>
      </w:pPr>
    </w:p>
    <w:p w:rsidR="001B6901" w:rsidRDefault="001B6901">
      <w:r>
        <w:t xml:space="preserve">The </w:t>
      </w:r>
      <w:proofErr w:type="spellStart"/>
      <w:proofErr w:type="gramStart"/>
      <w:r w:rsidR="001A68F7">
        <w:rPr>
          <w:rStyle w:val="RTiSWDocLiteralText"/>
        </w:rPr>
        <w:t>F</w:t>
      </w:r>
      <w:r>
        <w:rPr>
          <w:rStyle w:val="RTiSWDocLiteralText"/>
        </w:rPr>
        <w:t>illFromTS</w:t>
      </w:r>
      <w:proofErr w:type="spellEnd"/>
      <w:r>
        <w:rPr>
          <w:rStyle w:val="RTiSWDocLiteralText"/>
        </w:rPr>
        <w:t>(</w:t>
      </w:r>
      <w:proofErr w:type="gramEnd"/>
      <w:r>
        <w:rPr>
          <w:rStyle w:val="RTiSWDocLiteralText"/>
        </w:rPr>
        <w:t>)</w:t>
      </w:r>
      <w:r>
        <w:t xml:space="preserve"> command fills missing data in a time series </w:t>
      </w:r>
      <w:r w:rsidR="00871106">
        <w:t xml:space="preserve">(or ensemble) </w:t>
      </w:r>
      <w:r>
        <w:t>by transferring non-missing values from another time series</w:t>
      </w:r>
      <w:r w:rsidR="00871106">
        <w:t xml:space="preserve"> (or ensemble)</w:t>
      </w:r>
      <w:r>
        <w:t xml:space="preserve">.  This is useful when two time series typically have very similar values.  The filled time series is </w:t>
      </w:r>
      <w:r w:rsidR="00BA00EA">
        <w:t>not automatically extended.  A p</w:t>
      </w:r>
      <w:r>
        <w:t xml:space="preserve">eriod can be specified to limit the period that is checked for missing data.  See also the </w:t>
      </w:r>
      <w:proofErr w:type="spellStart"/>
      <w:proofErr w:type="gramStart"/>
      <w:r w:rsidR="001A68F7">
        <w:rPr>
          <w:rStyle w:val="RTiSWDocLiteralText"/>
        </w:rPr>
        <w:t>S</w:t>
      </w:r>
      <w:r>
        <w:rPr>
          <w:rStyle w:val="RTiSWDocLiteralText"/>
        </w:rPr>
        <w:t>etFromTS</w:t>
      </w:r>
      <w:proofErr w:type="spellEnd"/>
      <w:r>
        <w:rPr>
          <w:rStyle w:val="RTiSWDocLiteralText"/>
        </w:rPr>
        <w:t>(</w:t>
      </w:r>
      <w:proofErr w:type="gramEnd"/>
      <w:r>
        <w:rPr>
          <w:rStyle w:val="RTiSWDocLiteralText"/>
        </w:rPr>
        <w:t>)</w:t>
      </w:r>
      <w:r>
        <w:t xml:space="preserve"> command, w</w:t>
      </w:r>
      <w:r w:rsidR="001A68F7">
        <w:t>hich will transfer all values.   If multiple time series or an ensemble is being processed, the number of independent time series must be one or the same number as the time series being filled.</w:t>
      </w:r>
      <w:r w:rsidR="00AE7171">
        <w:t xml:space="preserve">  </w:t>
      </w:r>
      <w:r w:rsidR="005D79A7">
        <w:t>Data transfer occurs by date/time, not sequentially.  This may be a problem if trying to fill from a time series that has been shifted and l</w:t>
      </w:r>
      <w:r w:rsidR="00BA00EA">
        <w:t>eap years have caused an offset – an enhancement may be made in the future to address this issue.</w:t>
      </w:r>
      <w:r w:rsidR="00AE7171">
        <w:t xml:space="preserve">  </w:t>
      </w:r>
      <w:r>
        <w:t>The following dialog is used to edit the command and illustrates the command syntax.</w:t>
      </w:r>
    </w:p>
    <w:p w:rsidR="001B6901" w:rsidRDefault="001B6901"/>
    <w:p w:rsidR="001B6901" w:rsidRDefault="00BF1E6E">
      <w:pPr>
        <w:jc w:val="center"/>
      </w:pPr>
      <w:r>
        <w:rPr>
          <w:noProof/>
        </w:rPr>
        <w:drawing>
          <wp:inline distT="0" distB="0" distL="0" distR="0">
            <wp:extent cx="5943600" cy="3500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FillFrom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00755"/>
                    </a:xfrm>
                    <a:prstGeom prst="rect">
                      <a:avLst/>
                    </a:prstGeom>
                  </pic:spPr>
                </pic:pic>
              </a:graphicData>
            </a:graphic>
          </wp:inline>
        </w:drawing>
      </w:r>
    </w:p>
    <w:p w:rsidR="001B6901" w:rsidRDefault="001A68F7">
      <w:pPr>
        <w:pStyle w:val="RTiSWDocNote"/>
      </w:pPr>
      <w:proofErr w:type="spellStart"/>
      <w:r>
        <w:t>F</w:t>
      </w:r>
      <w:r w:rsidR="001B6901">
        <w:t>illFromTS</w:t>
      </w:r>
      <w:proofErr w:type="spellEnd"/>
    </w:p>
    <w:p w:rsidR="001B6901" w:rsidRDefault="001A68F7">
      <w:pPr>
        <w:pStyle w:val="RTiSWDocFigureTableTitle"/>
      </w:pPr>
      <w:proofErr w:type="spellStart"/>
      <w:proofErr w:type="gramStart"/>
      <w:r>
        <w:t>F</w:t>
      </w:r>
      <w:r w:rsidR="001B6901">
        <w:t>illFromTS</w:t>
      </w:r>
      <w:proofErr w:type="spellEnd"/>
      <w:r w:rsidR="001B6901">
        <w:t>(</w:t>
      </w:r>
      <w:proofErr w:type="gramEnd"/>
      <w:r w:rsidR="001B6901">
        <w:t>) Command Editor</w:t>
      </w:r>
    </w:p>
    <w:p w:rsidR="001B6901" w:rsidRDefault="001B6901">
      <w:pPr>
        <w:numPr>
          <w:ilvl w:val="12"/>
          <w:numId w:val="0"/>
        </w:numPr>
      </w:pPr>
      <w:bookmarkStart w:id="0" w:name="replaceValue"/>
    </w:p>
    <w:p w:rsidR="001B6901" w:rsidRDefault="001B6901">
      <w:r>
        <w:t>The command syntax is as follows:</w:t>
      </w:r>
    </w:p>
    <w:p w:rsidR="001B6901" w:rsidRDefault="001B6901"/>
    <w:p w:rsidR="001B6901" w:rsidRDefault="001A68F7">
      <w:pPr>
        <w:ind w:left="720"/>
        <w:rPr>
          <w:rStyle w:val="RTiSWDocLiteralText"/>
        </w:rPr>
      </w:pPr>
      <w:proofErr w:type="spellStart"/>
      <w:proofErr w:type="gramStart"/>
      <w:r>
        <w:rPr>
          <w:rStyle w:val="RTiSWDocLiteralText"/>
        </w:rPr>
        <w:t>F</w:t>
      </w:r>
      <w:r w:rsidR="001B6901">
        <w:rPr>
          <w:rStyle w:val="RTiSWDocLiteralText"/>
        </w:rPr>
        <w:t>illFromTS</w:t>
      </w:r>
      <w:proofErr w:type="spellEnd"/>
      <w:r w:rsidR="001B6901">
        <w:rPr>
          <w:rStyle w:val="RTiSWDocLiteralText"/>
        </w:rPr>
        <w:t>(</w:t>
      </w:r>
      <w:proofErr w:type="gramEnd"/>
      <w:r>
        <w:rPr>
          <w:rStyle w:val="RTiSWDocLiteralText"/>
        </w:rPr>
        <w:t>Parameter=Value,…</w:t>
      </w:r>
      <w:r w:rsidR="001B6901">
        <w:rPr>
          <w:rStyle w:val="RTiSWDocLiteralText"/>
        </w:rPr>
        <w:t>)</w:t>
      </w:r>
    </w:p>
    <w:p w:rsidR="001B6901" w:rsidRDefault="001B6901"/>
    <w:p w:rsidR="001B6901" w:rsidRDefault="001B6901">
      <w:pPr>
        <w:pStyle w:val="RTiSWDocFigureTableTitle"/>
      </w:pPr>
      <w:r>
        <w:t>Command Parameters</w:t>
      </w:r>
    </w:p>
    <w:p w:rsidR="001B6901" w:rsidRDefault="001B690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1"/>
        <w:gridCol w:w="4956"/>
        <w:gridCol w:w="2593"/>
      </w:tblGrid>
      <w:tr w:rsidR="001B6901" w:rsidTr="003F4C5D">
        <w:trPr>
          <w:tblHeader/>
          <w:jc w:val="center"/>
        </w:trPr>
        <w:tc>
          <w:tcPr>
            <w:tcW w:w="1728" w:type="dxa"/>
            <w:shd w:val="clear" w:color="auto" w:fill="C0C0C0"/>
          </w:tcPr>
          <w:p w:rsidR="001B6901" w:rsidRDefault="001B6901">
            <w:pPr>
              <w:pStyle w:val="RTiSWDocTableHeading"/>
            </w:pPr>
            <w:r>
              <w:t>Parameter</w:t>
            </w:r>
          </w:p>
        </w:tc>
        <w:tc>
          <w:tcPr>
            <w:tcW w:w="5255" w:type="dxa"/>
            <w:shd w:val="clear" w:color="auto" w:fill="C0C0C0"/>
          </w:tcPr>
          <w:p w:rsidR="001B6901" w:rsidRDefault="001B6901">
            <w:pPr>
              <w:pStyle w:val="RTiSWDocTableHeading"/>
            </w:pPr>
            <w:r>
              <w:t>Description</w:t>
            </w:r>
          </w:p>
        </w:tc>
        <w:tc>
          <w:tcPr>
            <w:tcW w:w="2593" w:type="dxa"/>
            <w:shd w:val="clear" w:color="auto" w:fill="C0C0C0"/>
          </w:tcPr>
          <w:p w:rsidR="001B6901" w:rsidRDefault="001B6901">
            <w:pPr>
              <w:pStyle w:val="RTiSWDocTableHeading"/>
            </w:pPr>
            <w:r>
              <w:t>Default</w:t>
            </w:r>
          </w:p>
        </w:tc>
      </w:tr>
      <w:tr w:rsidR="001A68F7" w:rsidTr="003F4C5D">
        <w:trPr>
          <w:jc w:val="center"/>
        </w:trPr>
        <w:tc>
          <w:tcPr>
            <w:tcW w:w="1728" w:type="dxa"/>
          </w:tcPr>
          <w:p w:rsidR="001A68F7" w:rsidRDefault="001A68F7" w:rsidP="001B6901">
            <w:pPr>
              <w:rPr>
                <w:rStyle w:val="RTiSWDocLiteralText"/>
              </w:rPr>
            </w:pPr>
            <w:proofErr w:type="spellStart"/>
            <w:r>
              <w:rPr>
                <w:rStyle w:val="RTiSWDocLiteralText"/>
              </w:rPr>
              <w:t>TSList</w:t>
            </w:r>
            <w:proofErr w:type="spellEnd"/>
          </w:p>
        </w:tc>
        <w:tc>
          <w:tcPr>
            <w:tcW w:w="5255" w:type="dxa"/>
          </w:tcPr>
          <w:p w:rsidR="001A68F7" w:rsidRDefault="001A68F7" w:rsidP="001B6901">
            <w:r>
              <w:t>Indicates the list of time series to be processed, one of:</w:t>
            </w:r>
          </w:p>
          <w:p w:rsidR="001A68F7" w:rsidRDefault="001A68F7" w:rsidP="001B6901">
            <w:pPr>
              <w:numPr>
                <w:ilvl w:val="0"/>
                <w:numId w:val="1"/>
              </w:numPr>
            </w:pPr>
            <w:proofErr w:type="spellStart"/>
            <w:r w:rsidRPr="00FD6DFE">
              <w:rPr>
                <w:rStyle w:val="RTiSWDocLiteralText"/>
              </w:rPr>
              <w:t>AllMatchingTSID</w:t>
            </w:r>
            <w:proofErr w:type="spellEnd"/>
            <w:r>
              <w:t xml:space="preserve"> – </w:t>
            </w:r>
            <w:proofErr w:type="spellStart"/>
            <w:r>
              <w:t>all time</w:t>
            </w:r>
            <w:proofErr w:type="spellEnd"/>
            <w:r>
              <w:t xml:space="preserve"> series that match the </w:t>
            </w:r>
            <w:r w:rsidRPr="00FD6DFE">
              <w:rPr>
                <w:rStyle w:val="RTiSWDocLiteralText"/>
              </w:rPr>
              <w:t>TSID</w:t>
            </w:r>
            <w:r>
              <w:t xml:space="preserve"> (single TSID or TSID with wildcards) will be modified.</w:t>
            </w:r>
          </w:p>
          <w:p w:rsidR="001A68F7" w:rsidRDefault="001A68F7" w:rsidP="001B6901">
            <w:pPr>
              <w:numPr>
                <w:ilvl w:val="0"/>
                <w:numId w:val="1"/>
              </w:numPr>
            </w:pPr>
            <w:proofErr w:type="spellStart"/>
            <w:r>
              <w:rPr>
                <w:rStyle w:val="RTiSWDocLiteralText"/>
              </w:rPr>
              <w:lastRenderedPageBreak/>
              <w:t>AllTS</w:t>
            </w:r>
            <w:proofErr w:type="spellEnd"/>
            <w:r>
              <w:t xml:space="preserve"> – </w:t>
            </w:r>
            <w:proofErr w:type="spellStart"/>
            <w:r>
              <w:t>all time</w:t>
            </w:r>
            <w:proofErr w:type="spellEnd"/>
            <w:r>
              <w:t xml:space="preserve"> series before the command.</w:t>
            </w:r>
          </w:p>
          <w:p w:rsidR="001A68F7" w:rsidRDefault="001A68F7" w:rsidP="001B6901">
            <w:pPr>
              <w:numPr>
                <w:ilvl w:val="0"/>
                <w:numId w:val="1"/>
              </w:numPr>
            </w:pPr>
            <w:proofErr w:type="spellStart"/>
            <w:r w:rsidRPr="009F6D0D">
              <w:rPr>
                <w:rStyle w:val="RTiSWDocLiteralText"/>
              </w:rPr>
              <w:t>EnsembleID</w:t>
            </w:r>
            <w:proofErr w:type="spellEnd"/>
            <w:r>
              <w:t xml:space="preserve"> – </w:t>
            </w:r>
            <w:proofErr w:type="spellStart"/>
            <w:r>
              <w:t>all time</w:t>
            </w:r>
            <w:proofErr w:type="spellEnd"/>
            <w:r>
              <w:t xml:space="preserve"> series in the ensemble will be modified.</w:t>
            </w:r>
          </w:p>
          <w:p w:rsidR="002E3A59" w:rsidRDefault="002E3A59" w:rsidP="002E3A59">
            <w:pPr>
              <w:numPr>
                <w:ilvl w:val="0"/>
                <w:numId w:val="1"/>
              </w:numPr>
            </w:pPr>
            <w:proofErr w:type="spellStart"/>
            <w:r>
              <w:rPr>
                <w:rStyle w:val="RTiSWDocLiteralText"/>
              </w:rPr>
              <w:t>First</w:t>
            </w:r>
            <w:r w:rsidRPr="00FD6DFE">
              <w:rPr>
                <w:rStyle w:val="RTiSWDocLiteralText"/>
              </w:rPr>
              <w:t>MatchingTSID</w:t>
            </w:r>
            <w:proofErr w:type="spellEnd"/>
            <w:r>
              <w:t xml:space="preserve"> – the first time series that matches the </w:t>
            </w:r>
            <w:r w:rsidRPr="00FD6DFE">
              <w:rPr>
                <w:rStyle w:val="RTiSWDocLiteralText"/>
              </w:rPr>
              <w:t>TSID</w:t>
            </w:r>
            <w:r>
              <w:t xml:space="preserve"> (single TSID or TSID with wildcards) will be modified.</w:t>
            </w:r>
          </w:p>
          <w:p w:rsidR="001A68F7" w:rsidRDefault="001A68F7" w:rsidP="001B6901">
            <w:pPr>
              <w:numPr>
                <w:ilvl w:val="0"/>
                <w:numId w:val="1"/>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 will be modified.</w:t>
            </w:r>
          </w:p>
          <w:p w:rsidR="001A68F7" w:rsidRDefault="001A68F7" w:rsidP="001B6901">
            <w:pPr>
              <w:numPr>
                <w:ilvl w:val="0"/>
                <w:numId w:val="1"/>
              </w:numPr>
            </w:pPr>
            <w:proofErr w:type="spellStart"/>
            <w:r>
              <w:rPr>
                <w:rStyle w:val="RTiSWDocLiteralText"/>
              </w:rPr>
              <w:t>SelectedTS</w:t>
            </w:r>
            <w:proofErr w:type="spellEnd"/>
            <w:r>
              <w:t xml:space="preserve"> – the time series are those selected with the </w:t>
            </w:r>
            <w:proofErr w:type="spellStart"/>
            <w:proofErr w:type="gramStart"/>
            <w:r>
              <w:rPr>
                <w:rStyle w:val="RTiSWDocLiteralText"/>
              </w:rPr>
              <w:t>SelectTimeSeries</w:t>
            </w:r>
            <w:proofErr w:type="spellEnd"/>
            <w:r>
              <w:rPr>
                <w:rStyle w:val="RTiSWDocLiteralText"/>
              </w:rPr>
              <w:t>(</w:t>
            </w:r>
            <w:proofErr w:type="gramEnd"/>
            <w:r>
              <w:rPr>
                <w:rStyle w:val="RTiSWDocLiteralText"/>
              </w:rPr>
              <w:t>)</w:t>
            </w:r>
            <w:r>
              <w:t xml:space="preserve"> command.</w:t>
            </w:r>
          </w:p>
        </w:tc>
        <w:tc>
          <w:tcPr>
            <w:tcW w:w="2593" w:type="dxa"/>
          </w:tcPr>
          <w:p w:rsidR="001A68F7" w:rsidRDefault="001A68F7" w:rsidP="001B6901">
            <w:pPr>
              <w:rPr>
                <w:rStyle w:val="RTiSWDocLiteralText"/>
              </w:rPr>
            </w:pPr>
            <w:proofErr w:type="spellStart"/>
            <w:r>
              <w:rPr>
                <w:rStyle w:val="RTiSWDocLiteralText"/>
              </w:rPr>
              <w:lastRenderedPageBreak/>
              <w:t>AllTS</w:t>
            </w:r>
            <w:proofErr w:type="spellEnd"/>
          </w:p>
        </w:tc>
      </w:tr>
      <w:tr w:rsidR="002E3A59" w:rsidTr="003F4C5D">
        <w:trPr>
          <w:jc w:val="center"/>
        </w:trPr>
        <w:tc>
          <w:tcPr>
            <w:tcW w:w="1728" w:type="dxa"/>
          </w:tcPr>
          <w:p w:rsidR="002E3A59" w:rsidRPr="003521E3" w:rsidRDefault="002E3A59" w:rsidP="001B6901">
            <w:pPr>
              <w:rPr>
                <w:rStyle w:val="RTiSWDocLiteralText"/>
              </w:rPr>
            </w:pPr>
            <w:r w:rsidRPr="003521E3">
              <w:rPr>
                <w:rStyle w:val="RTiSWDocLiteralText"/>
              </w:rPr>
              <w:lastRenderedPageBreak/>
              <w:t>TSID</w:t>
            </w:r>
          </w:p>
        </w:tc>
        <w:tc>
          <w:tcPr>
            <w:tcW w:w="5255" w:type="dxa"/>
          </w:tcPr>
          <w:p w:rsidR="002E3A59" w:rsidRDefault="002E3A59" w:rsidP="001B6901">
            <w:r>
              <w:t xml:space="preserve">The time series identifier or alias for the time series to be modified, using the </w:t>
            </w:r>
            <w:r w:rsidRPr="0084310A">
              <w:rPr>
                <w:rStyle w:val="RTiSWDocSectionReference"/>
              </w:rPr>
              <w:t>*</w:t>
            </w:r>
            <w:r>
              <w:t xml:space="preserve"> wildcard character to match multiple time series.</w:t>
            </w:r>
            <w:r w:rsidR="00BF1E6E">
              <w:t xml:space="preserve">  Can be specified with processor </w:t>
            </w:r>
            <w:r w:rsidR="00BF1E6E" w:rsidRPr="00BF1E6E">
              <w:rPr>
                <w:rStyle w:val="RTiSWDocLiteralText"/>
              </w:rPr>
              <w:t>${Property}</w:t>
            </w:r>
            <w:r w:rsidR="00BF1E6E">
              <w:t>.</w:t>
            </w:r>
          </w:p>
        </w:tc>
        <w:tc>
          <w:tcPr>
            <w:tcW w:w="2593" w:type="dxa"/>
          </w:tcPr>
          <w:p w:rsidR="002E3A59" w:rsidRDefault="002E3A59" w:rsidP="005A607C">
            <w:r>
              <w:t xml:space="preserve">Required when a </w:t>
            </w:r>
            <w:proofErr w:type="spellStart"/>
            <w:r w:rsidRPr="00D321EF">
              <w:rPr>
                <w:rStyle w:val="RTiSWDocLiteralText"/>
              </w:rPr>
              <w:t>TSList</w:t>
            </w:r>
            <w:proofErr w:type="spellEnd"/>
            <w:r w:rsidRPr="00D321EF">
              <w:rPr>
                <w:rStyle w:val="RTiSWDocLiteralText"/>
              </w:rPr>
              <w:t>=*TSID</w:t>
            </w:r>
          </w:p>
        </w:tc>
      </w:tr>
      <w:tr w:rsidR="002E3A59" w:rsidTr="003F4C5D">
        <w:trPr>
          <w:jc w:val="center"/>
        </w:trPr>
        <w:tc>
          <w:tcPr>
            <w:tcW w:w="1728" w:type="dxa"/>
          </w:tcPr>
          <w:p w:rsidR="002E3A59" w:rsidRPr="003521E3" w:rsidRDefault="002E3A59" w:rsidP="001B6901">
            <w:pPr>
              <w:rPr>
                <w:rStyle w:val="RTiSWDocLiteralText"/>
              </w:rPr>
            </w:pPr>
            <w:proofErr w:type="spellStart"/>
            <w:r w:rsidRPr="003521E3">
              <w:rPr>
                <w:rStyle w:val="RTiSWDocLiteralText"/>
              </w:rPr>
              <w:t>EnsembleID</w:t>
            </w:r>
            <w:proofErr w:type="spellEnd"/>
          </w:p>
        </w:tc>
        <w:tc>
          <w:tcPr>
            <w:tcW w:w="5255" w:type="dxa"/>
          </w:tcPr>
          <w:p w:rsidR="002E3A59" w:rsidRDefault="002E3A59" w:rsidP="001B6901">
            <w:r>
              <w:t>The ensemble to be modified, if processing an ensemble.</w:t>
            </w:r>
            <w:r w:rsidR="00BF1E6E">
              <w:t xml:space="preserve">  </w:t>
            </w:r>
            <w:r w:rsidR="00BF1E6E">
              <w:t xml:space="preserve">Can be specified with processor </w:t>
            </w:r>
            <w:r w:rsidR="00BF1E6E" w:rsidRPr="00BF1E6E">
              <w:rPr>
                <w:rStyle w:val="RTiSWDocLiteralText"/>
              </w:rPr>
              <w:t>${Property}</w:t>
            </w:r>
            <w:r w:rsidR="00BF1E6E">
              <w:t>.</w:t>
            </w:r>
          </w:p>
        </w:tc>
        <w:tc>
          <w:tcPr>
            <w:tcW w:w="2593" w:type="dxa"/>
          </w:tcPr>
          <w:p w:rsidR="002E3A59" w:rsidRDefault="002E3A59" w:rsidP="005A607C">
            <w:pPr>
              <w:rPr>
                <w:rStyle w:val="RTiSWDocLiteralText"/>
              </w:rPr>
            </w:pPr>
            <w:r>
              <w:t xml:space="preserve">Required </w:t>
            </w:r>
            <w:proofErr w:type="gramStart"/>
            <w:r>
              <w:t>when</w:t>
            </w:r>
            <w:r w:rsidRPr="00FD6DFE">
              <w:rPr>
                <w:rStyle w:val="RTiSWDocLiteralText"/>
              </w:rPr>
              <w:t xml:space="preserve"> </w:t>
            </w:r>
            <w:r>
              <w:rPr>
                <w:rStyle w:val="RTiSWDocLiteralText"/>
              </w:rPr>
              <w:t xml:space="preserve"> </w:t>
            </w:r>
            <w:proofErr w:type="spellStart"/>
            <w:r>
              <w:rPr>
                <w:rStyle w:val="RTiSWDocLiteralText"/>
              </w:rPr>
              <w:t>TSList</w:t>
            </w:r>
            <w:proofErr w:type="spellEnd"/>
            <w:proofErr w:type="gramEnd"/>
            <w:r>
              <w:rPr>
                <w:rStyle w:val="RTiSWDocLiteralText"/>
              </w:rPr>
              <w:t>=</w:t>
            </w:r>
            <w:proofErr w:type="spellStart"/>
            <w:r>
              <w:rPr>
                <w:rStyle w:val="RTiSWDocLiteralText"/>
              </w:rPr>
              <w:t>E</w:t>
            </w:r>
            <w:r w:rsidRPr="00FD6DFE">
              <w:rPr>
                <w:rStyle w:val="RTiSWDocLiteralText"/>
              </w:rPr>
              <w:t>nsembleID</w:t>
            </w:r>
            <w:proofErr w:type="spellEnd"/>
            <w:r>
              <w:rPr>
                <w:rStyle w:val="RTiSWDocLiteralText"/>
              </w:rPr>
              <w:t>.</w:t>
            </w:r>
          </w:p>
        </w:tc>
      </w:tr>
      <w:tr w:rsidR="001A68F7" w:rsidTr="003F4C5D">
        <w:trPr>
          <w:jc w:val="center"/>
        </w:trPr>
        <w:tc>
          <w:tcPr>
            <w:tcW w:w="1728" w:type="dxa"/>
          </w:tcPr>
          <w:p w:rsidR="00165424" w:rsidRDefault="00165424">
            <w:pPr>
              <w:rPr>
                <w:rStyle w:val="RTiSWDocLiteralText"/>
              </w:rPr>
            </w:pPr>
            <w:r>
              <w:rPr>
                <w:rStyle w:val="RTiSWDocLiteralText"/>
              </w:rPr>
              <w:t>Independent</w:t>
            </w:r>
          </w:p>
          <w:p w:rsidR="001A68F7" w:rsidRDefault="00165424">
            <w:pPr>
              <w:rPr>
                <w:rStyle w:val="RTiSWDocLiteralText"/>
              </w:rPr>
            </w:pPr>
            <w:proofErr w:type="spellStart"/>
            <w:r>
              <w:rPr>
                <w:rStyle w:val="RTiSWDocLiteralText"/>
              </w:rPr>
              <w:t>TSList</w:t>
            </w:r>
            <w:proofErr w:type="spellEnd"/>
          </w:p>
        </w:tc>
        <w:tc>
          <w:tcPr>
            <w:tcW w:w="5255" w:type="dxa"/>
          </w:tcPr>
          <w:p w:rsidR="001A68F7" w:rsidRDefault="00165424">
            <w:r>
              <w:t xml:space="preserve">Indicates how to determine the list of independent time series (see the explanation of </w:t>
            </w:r>
            <w:proofErr w:type="spellStart"/>
            <w:r w:rsidRPr="00165424">
              <w:rPr>
                <w:rStyle w:val="RTiSWDocLiteralText"/>
              </w:rPr>
              <w:t>TSList</w:t>
            </w:r>
            <w:proofErr w:type="spellEnd"/>
            <w:r>
              <w:t>).</w:t>
            </w:r>
          </w:p>
        </w:tc>
        <w:tc>
          <w:tcPr>
            <w:tcW w:w="2593" w:type="dxa"/>
          </w:tcPr>
          <w:p w:rsidR="001A68F7" w:rsidRDefault="00165424">
            <w:proofErr w:type="spellStart"/>
            <w:r>
              <w:rPr>
                <w:rStyle w:val="RTiSWDocLiteralText"/>
              </w:rPr>
              <w:t>AllTS</w:t>
            </w:r>
            <w:proofErr w:type="spellEnd"/>
          </w:p>
        </w:tc>
      </w:tr>
      <w:tr w:rsidR="001B6901" w:rsidTr="003F4C5D">
        <w:trPr>
          <w:jc w:val="center"/>
        </w:trPr>
        <w:tc>
          <w:tcPr>
            <w:tcW w:w="1728" w:type="dxa"/>
          </w:tcPr>
          <w:p w:rsidR="00165424" w:rsidRDefault="001B6901">
            <w:pPr>
              <w:rPr>
                <w:rStyle w:val="RTiSWDocLiteralText"/>
              </w:rPr>
            </w:pPr>
            <w:r>
              <w:rPr>
                <w:rStyle w:val="RTiSWDocLiteralText"/>
              </w:rPr>
              <w:t>Independent</w:t>
            </w:r>
          </w:p>
          <w:p w:rsidR="001B6901" w:rsidRDefault="001B6901">
            <w:pPr>
              <w:rPr>
                <w:rStyle w:val="RTiSWDocLiteralText"/>
              </w:rPr>
            </w:pPr>
            <w:r>
              <w:rPr>
                <w:rStyle w:val="RTiSWDocLiteralText"/>
              </w:rPr>
              <w:t>TSID</w:t>
            </w:r>
          </w:p>
        </w:tc>
        <w:tc>
          <w:tcPr>
            <w:tcW w:w="5255" w:type="dxa"/>
          </w:tcPr>
          <w:p w:rsidR="001B6901" w:rsidRDefault="001B6901">
            <w:r>
              <w:t>The time series identifier or alias for the independent time series</w:t>
            </w:r>
            <w:r w:rsidR="00165424">
              <w:t xml:space="preserve"> (see the explanation of </w:t>
            </w:r>
            <w:r w:rsidR="00165424" w:rsidRPr="00165424">
              <w:rPr>
                <w:rStyle w:val="RTiSWDocLiteralText"/>
              </w:rPr>
              <w:t>TSID</w:t>
            </w:r>
            <w:r w:rsidR="00165424">
              <w:t>).</w:t>
            </w:r>
            <w:r w:rsidR="00BF1E6E">
              <w:t xml:space="preserve">  </w:t>
            </w:r>
            <w:r w:rsidR="00BF1E6E">
              <w:t xml:space="preserve">Can be specified with processor </w:t>
            </w:r>
            <w:r w:rsidR="00BF1E6E" w:rsidRPr="00BF1E6E">
              <w:rPr>
                <w:rStyle w:val="RTiSWDocLiteralText"/>
              </w:rPr>
              <w:t>${Property}</w:t>
            </w:r>
            <w:r w:rsidR="00BF1E6E">
              <w:t>.</w:t>
            </w:r>
          </w:p>
        </w:tc>
        <w:tc>
          <w:tcPr>
            <w:tcW w:w="2593" w:type="dxa"/>
          </w:tcPr>
          <w:p w:rsidR="003521E3" w:rsidRDefault="003521E3">
            <w:pPr>
              <w:rPr>
                <w:rStyle w:val="RTiSWDocLiteralText"/>
              </w:rPr>
            </w:pPr>
            <w:r>
              <w:t xml:space="preserve">Required when a </w:t>
            </w:r>
            <w:proofErr w:type="spellStart"/>
            <w:r w:rsidRPr="003521E3">
              <w:rPr>
                <w:rStyle w:val="RTiSWDocLiteralText"/>
              </w:rPr>
              <w:t>IndependentTS</w:t>
            </w:r>
            <w:r w:rsidRPr="00D321EF">
              <w:rPr>
                <w:rStyle w:val="RTiSWDocLiteralText"/>
              </w:rPr>
              <w:t>List</w:t>
            </w:r>
            <w:proofErr w:type="spellEnd"/>
            <w:r w:rsidRPr="00D321EF">
              <w:rPr>
                <w:rStyle w:val="RTiSWDocLiteralText"/>
              </w:rPr>
              <w:t>=</w:t>
            </w:r>
          </w:p>
          <w:p w:rsidR="001B6901" w:rsidRDefault="003521E3">
            <w:r w:rsidRPr="00D321EF">
              <w:rPr>
                <w:rStyle w:val="RTiSWDocLiteralText"/>
              </w:rPr>
              <w:t>*TSID</w:t>
            </w:r>
          </w:p>
        </w:tc>
      </w:tr>
      <w:tr w:rsidR="00165424" w:rsidTr="003F4C5D">
        <w:trPr>
          <w:jc w:val="center"/>
        </w:trPr>
        <w:tc>
          <w:tcPr>
            <w:tcW w:w="1728" w:type="dxa"/>
          </w:tcPr>
          <w:p w:rsidR="00165424" w:rsidRDefault="00165424">
            <w:pPr>
              <w:rPr>
                <w:rStyle w:val="RTiSWDocLiteralText"/>
              </w:rPr>
            </w:pPr>
            <w:r>
              <w:rPr>
                <w:rStyle w:val="RTiSWDocLiteralText"/>
              </w:rPr>
              <w:t>Independent</w:t>
            </w:r>
          </w:p>
          <w:p w:rsidR="00165424" w:rsidRDefault="00165424">
            <w:pPr>
              <w:rPr>
                <w:rStyle w:val="RTiSWDocLiteralText"/>
              </w:rPr>
            </w:pPr>
            <w:proofErr w:type="spellStart"/>
            <w:r>
              <w:rPr>
                <w:rStyle w:val="RTiSWDocLiteralText"/>
              </w:rPr>
              <w:t>EnsembleID</w:t>
            </w:r>
            <w:proofErr w:type="spellEnd"/>
          </w:p>
        </w:tc>
        <w:tc>
          <w:tcPr>
            <w:tcW w:w="5255" w:type="dxa"/>
          </w:tcPr>
          <w:p w:rsidR="00165424" w:rsidRDefault="00165424">
            <w:r>
              <w:t xml:space="preserve">The ensemble identifier for the independent time series (see the explanation of </w:t>
            </w:r>
            <w:proofErr w:type="spellStart"/>
            <w:r w:rsidRPr="00165424">
              <w:rPr>
                <w:rStyle w:val="RTiSWDocLiteralText"/>
              </w:rPr>
              <w:t>EnsembleID</w:t>
            </w:r>
            <w:proofErr w:type="spellEnd"/>
            <w:r>
              <w:t>).</w:t>
            </w:r>
            <w:r w:rsidR="00BF1E6E">
              <w:t xml:space="preserve">  </w:t>
            </w:r>
            <w:r w:rsidR="00BF1E6E">
              <w:t xml:space="preserve">Can be specified with processor </w:t>
            </w:r>
            <w:r w:rsidR="00BF1E6E" w:rsidRPr="00BF1E6E">
              <w:rPr>
                <w:rStyle w:val="RTiSWDocLiteralText"/>
              </w:rPr>
              <w:t>${Property}</w:t>
            </w:r>
            <w:r w:rsidR="00BF1E6E">
              <w:t>.</w:t>
            </w:r>
          </w:p>
        </w:tc>
        <w:tc>
          <w:tcPr>
            <w:tcW w:w="2593" w:type="dxa"/>
          </w:tcPr>
          <w:p w:rsidR="003521E3" w:rsidRDefault="003521E3">
            <w:pPr>
              <w:rPr>
                <w:rStyle w:val="RTiSWDocLiteralText"/>
              </w:rPr>
            </w:pPr>
            <w:r>
              <w:t>Required when</w:t>
            </w:r>
            <w:r w:rsidRPr="00FD6DFE">
              <w:rPr>
                <w:rStyle w:val="RTiSWDocLiteralText"/>
              </w:rPr>
              <w:t xml:space="preserve"> </w:t>
            </w:r>
            <w:r>
              <w:rPr>
                <w:rStyle w:val="RTiSWDocLiteralText"/>
              </w:rPr>
              <w:t xml:space="preserve"> </w:t>
            </w:r>
            <w:proofErr w:type="spellStart"/>
            <w:r>
              <w:rPr>
                <w:rStyle w:val="RTiSWDocLiteralText"/>
              </w:rPr>
              <w:t>IndependentTSList</w:t>
            </w:r>
            <w:proofErr w:type="spellEnd"/>
            <w:r>
              <w:rPr>
                <w:rStyle w:val="RTiSWDocLiteralText"/>
              </w:rPr>
              <w:t>=</w:t>
            </w:r>
          </w:p>
          <w:p w:rsidR="00165424" w:rsidRDefault="003521E3">
            <w:proofErr w:type="spellStart"/>
            <w:r>
              <w:rPr>
                <w:rStyle w:val="RTiSWDocLiteralText"/>
              </w:rPr>
              <w:t>E</w:t>
            </w:r>
            <w:r w:rsidRPr="00FD6DFE">
              <w:rPr>
                <w:rStyle w:val="RTiSWDocLiteralText"/>
              </w:rPr>
              <w:t>nsembleID</w:t>
            </w:r>
            <w:proofErr w:type="spellEnd"/>
            <w:r>
              <w:rPr>
                <w:rStyle w:val="RTiSWDocLiteralText"/>
              </w:rPr>
              <w:t>.</w:t>
            </w:r>
          </w:p>
        </w:tc>
      </w:tr>
      <w:tr w:rsidR="001B6901" w:rsidTr="003F4C5D">
        <w:trPr>
          <w:jc w:val="center"/>
        </w:trPr>
        <w:tc>
          <w:tcPr>
            <w:tcW w:w="1728" w:type="dxa"/>
          </w:tcPr>
          <w:p w:rsidR="001B6901" w:rsidRDefault="001B6901">
            <w:pPr>
              <w:rPr>
                <w:rStyle w:val="RTiSWDocLiteralText"/>
              </w:rPr>
            </w:pPr>
            <w:proofErr w:type="spellStart"/>
            <w:r>
              <w:rPr>
                <w:rStyle w:val="RTiSWDocLiteralText"/>
              </w:rPr>
              <w:t>FillStart</w:t>
            </w:r>
            <w:proofErr w:type="spellEnd"/>
          </w:p>
        </w:tc>
        <w:tc>
          <w:tcPr>
            <w:tcW w:w="5255" w:type="dxa"/>
          </w:tcPr>
          <w:p w:rsidR="001B6901" w:rsidRDefault="001B6901" w:rsidP="00AE7171">
            <w:r>
              <w:t>The date/time to start filling</w:t>
            </w:r>
            <w:r w:rsidR="00AE7171">
              <w:t>.</w:t>
            </w:r>
            <w:r w:rsidR="00BF1E6E">
              <w:t xml:space="preserve">  </w:t>
            </w:r>
            <w:r w:rsidR="00BF1E6E">
              <w:t xml:space="preserve">Can be specified with processor </w:t>
            </w:r>
            <w:r w:rsidR="00BF1E6E" w:rsidRPr="00BF1E6E">
              <w:rPr>
                <w:rStyle w:val="RTiSWDocLiteralText"/>
              </w:rPr>
              <w:t>${Property}</w:t>
            </w:r>
            <w:r w:rsidR="00BF1E6E">
              <w:t>.</w:t>
            </w:r>
          </w:p>
        </w:tc>
        <w:tc>
          <w:tcPr>
            <w:tcW w:w="2593" w:type="dxa"/>
          </w:tcPr>
          <w:p w:rsidR="001B6901" w:rsidRDefault="001B6901">
            <w:r>
              <w:t>F</w:t>
            </w:r>
            <w:r w:rsidR="001A68F7">
              <w:t>ill the entire</w:t>
            </w:r>
            <w:r>
              <w:t xml:space="preserve"> period</w:t>
            </w:r>
            <w:r w:rsidR="001A68F7">
              <w:t>.</w:t>
            </w:r>
          </w:p>
        </w:tc>
      </w:tr>
      <w:tr w:rsidR="001B6901" w:rsidTr="003F4C5D">
        <w:trPr>
          <w:jc w:val="center"/>
        </w:trPr>
        <w:tc>
          <w:tcPr>
            <w:tcW w:w="1728" w:type="dxa"/>
          </w:tcPr>
          <w:p w:rsidR="001B6901" w:rsidRDefault="001B6901">
            <w:pPr>
              <w:rPr>
                <w:rStyle w:val="RTiSWDocLiteralText"/>
              </w:rPr>
            </w:pPr>
            <w:proofErr w:type="spellStart"/>
            <w:r>
              <w:rPr>
                <w:rStyle w:val="RTiSWDocLiteralText"/>
              </w:rPr>
              <w:t>FillEnd</w:t>
            </w:r>
            <w:proofErr w:type="spellEnd"/>
          </w:p>
        </w:tc>
        <w:tc>
          <w:tcPr>
            <w:tcW w:w="5255" w:type="dxa"/>
          </w:tcPr>
          <w:p w:rsidR="001B6901" w:rsidRDefault="001B6901" w:rsidP="00AE7171">
            <w:r>
              <w:t>The date/time to end filling.</w:t>
            </w:r>
            <w:r w:rsidR="00BF1E6E">
              <w:t xml:space="preserve">  </w:t>
            </w:r>
            <w:r w:rsidR="00BF1E6E">
              <w:t xml:space="preserve">Can be specified with processor </w:t>
            </w:r>
            <w:r w:rsidR="00BF1E6E" w:rsidRPr="00BF1E6E">
              <w:rPr>
                <w:rStyle w:val="RTiSWDocLiteralText"/>
              </w:rPr>
              <w:t>${Property}</w:t>
            </w:r>
            <w:r w:rsidR="00BF1E6E">
              <w:t>.</w:t>
            </w:r>
          </w:p>
        </w:tc>
        <w:tc>
          <w:tcPr>
            <w:tcW w:w="2593" w:type="dxa"/>
          </w:tcPr>
          <w:p w:rsidR="001B6901" w:rsidRDefault="001B6901">
            <w:r>
              <w:t>F</w:t>
            </w:r>
            <w:r w:rsidR="001A68F7">
              <w:t>ill the entire</w:t>
            </w:r>
            <w:r>
              <w:t xml:space="preserve"> period</w:t>
            </w:r>
            <w:r w:rsidR="001A68F7">
              <w:t>.</w:t>
            </w:r>
          </w:p>
        </w:tc>
      </w:tr>
      <w:tr w:rsidR="003F4C5D" w:rsidTr="003F4C5D">
        <w:trPr>
          <w:jc w:val="center"/>
        </w:trPr>
        <w:tc>
          <w:tcPr>
            <w:tcW w:w="1728" w:type="dxa"/>
          </w:tcPr>
          <w:p w:rsidR="003F4C5D" w:rsidRDefault="003F4C5D" w:rsidP="00AE5CB6">
            <w:pPr>
              <w:rPr>
                <w:rStyle w:val="RTiSWDocLiteralText"/>
              </w:rPr>
            </w:pPr>
            <w:proofErr w:type="spellStart"/>
            <w:r>
              <w:rPr>
                <w:rStyle w:val="RTiSWDocLiteralText"/>
              </w:rPr>
              <w:t>FillFlag</w:t>
            </w:r>
            <w:proofErr w:type="spellEnd"/>
          </w:p>
        </w:tc>
        <w:tc>
          <w:tcPr>
            <w:tcW w:w="5255" w:type="dxa"/>
          </w:tcPr>
          <w:p w:rsidR="003F4C5D" w:rsidRDefault="003F4C5D" w:rsidP="003F4C5D">
            <w:r>
              <w:t xml:space="preserve">If specified, data flags will be enabled for the time series and each filled value will be tagged with the specified string.  The flag can then be used later to label graphs, etc.  Prefix with </w:t>
            </w:r>
            <w:r w:rsidRPr="003F4C5D">
              <w:rPr>
                <w:rStyle w:val="RTiSWDocLiteralText"/>
              </w:rPr>
              <w:t>+</w:t>
            </w:r>
            <w:r>
              <w:t xml:space="preserve"> to append the flag.</w:t>
            </w:r>
            <w:r w:rsidR="00BF1E6E">
              <w:t xml:space="preserve">  </w:t>
            </w:r>
            <w:r w:rsidR="00BF1E6E">
              <w:t xml:space="preserve">Can be specified with processor </w:t>
            </w:r>
            <w:r w:rsidR="00BF1E6E" w:rsidRPr="00BF1E6E">
              <w:rPr>
                <w:rStyle w:val="RTiSWDocLiteralText"/>
              </w:rPr>
              <w:t>${Property}</w:t>
            </w:r>
            <w:r w:rsidR="00BF1E6E">
              <w:t>.</w:t>
            </w:r>
          </w:p>
        </w:tc>
        <w:tc>
          <w:tcPr>
            <w:tcW w:w="2593" w:type="dxa"/>
          </w:tcPr>
          <w:p w:rsidR="003F4C5D" w:rsidRDefault="003F4C5D" w:rsidP="00AE5CB6">
            <w:r>
              <w:t>No flag is assigned.</w:t>
            </w:r>
          </w:p>
        </w:tc>
      </w:tr>
      <w:tr w:rsidR="003F4C5D" w:rsidTr="003F4C5D">
        <w:trPr>
          <w:jc w:val="center"/>
        </w:trPr>
        <w:tc>
          <w:tcPr>
            <w:tcW w:w="1728" w:type="dxa"/>
          </w:tcPr>
          <w:p w:rsidR="003F4C5D" w:rsidRDefault="003F4C5D" w:rsidP="00AE7171">
            <w:pPr>
              <w:rPr>
                <w:rStyle w:val="RTiSWDocLiteralText"/>
              </w:rPr>
            </w:pPr>
            <w:proofErr w:type="spellStart"/>
            <w:r>
              <w:rPr>
                <w:rStyle w:val="RTiSWDocLiteralText"/>
              </w:rPr>
              <w:t>FillFlagDesc</w:t>
            </w:r>
            <w:proofErr w:type="spellEnd"/>
          </w:p>
        </w:tc>
        <w:tc>
          <w:tcPr>
            <w:tcW w:w="5255" w:type="dxa"/>
          </w:tcPr>
          <w:p w:rsidR="003F4C5D" w:rsidRDefault="003F4C5D" w:rsidP="00AE5CB6">
            <w:r>
              <w:t>Description for the fill flag, used in reports.</w:t>
            </w:r>
            <w:r w:rsidR="00BF1E6E">
              <w:t xml:space="preserve">  </w:t>
            </w:r>
            <w:r w:rsidR="00BF1E6E">
              <w:t xml:space="preserve">Can be specified with processor </w:t>
            </w:r>
            <w:r w:rsidR="00BF1E6E" w:rsidRPr="00BF1E6E">
              <w:rPr>
                <w:rStyle w:val="RTiSWDocLiteralText"/>
              </w:rPr>
              <w:t>${Property}</w:t>
            </w:r>
            <w:r w:rsidR="00BF1E6E">
              <w:t>.</w:t>
            </w:r>
          </w:p>
        </w:tc>
        <w:tc>
          <w:tcPr>
            <w:tcW w:w="2593" w:type="dxa"/>
          </w:tcPr>
          <w:p w:rsidR="003F4C5D" w:rsidRDefault="003F4C5D" w:rsidP="00AE5CB6">
            <w:r>
              <w:t>Automatically generated.</w:t>
            </w:r>
          </w:p>
        </w:tc>
      </w:tr>
      <w:tr w:rsidR="003F4C5D" w:rsidTr="003F4C5D">
        <w:trPr>
          <w:jc w:val="center"/>
        </w:trPr>
        <w:tc>
          <w:tcPr>
            <w:tcW w:w="1728" w:type="dxa"/>
          </w:tcPr>
          <w:p w:rsidR="003F4C5D" w:rsidRDefault="003F4C5D" w:rsidP="00F04CC6">
            <w:pPr>
              <w:rPr>
                <w:rStyle w:val="RTiSWDocLiteralText"/>
              </w:rPr>
            </w:pPr>
            <w:proofErr w:type="spellStart"/>
            <w:r>
              <w:rPr>
                <w:rStyle w:val="RTiSWDocLiteralText"/>
              </w:rPr>
              <w:t>Recalc</w:t>
            </w:r>
            <w:proofErr w:type="spellEnd"/>
          </w:p>
          <w:p w:rsidR="003F4C5D" w:rsidRDefault="003F4C5D" w:rsidP="00F04CC6">
            <w:pPr>
              <w:rPr>
                <w:rStyle w:val="RTiSWDocLiteralText"/>
              </w:rPr>
            </w:pPr>
            <w:r>
              <w:rPr>
                <w:rStyle w:val="RTiSWDocLiteralText"/>
              </w:rPr>
              <w:t>Limits</w:t>
            </w:r>
          </w:p>
        </w:tc>
        <w:tc>
          <w:tcPr>
            <w:tcW w:w="5255" w:type="dxa"/>
          </w:tcPr>
          <w:p w:rsidR="003F4C5D" w:rsidRDefault="003F4C5D" w:rsidP="00AE7171">
            <w:r>
              <w:t xml:space="preserve">Available only for monthly time series.  Indicate whether the original data limits for the time series should be recalculated after the filling the time series.  Setting to </w:t>
            </w:r>
            <w:r w:rsidRPr="00807E59">
              <w:rPr>
                <w:rStyle w:val="RTiSWDocLiteralText"/>
              </w:rPr>
              <w:t>True</w:t>
            </w:r>
            <w:r>
              <w:t xml:space="preserve"> is appropriate if the independent time series provides </w:t>
            </w:r>
            <w:r w:rsidR="00AE7171">
              <w:t>additional data values</w:t>
            </w:r>
            <w:r>
              <w:t>.</w:t>
            </w:r>
          </w:p>
        </w:tc>
        <w:tc>
          <w:tcPr>
            <w:tcW w:w="2593" w:type="dxa"/>
          </w:tcPr>
          <w:p w:rsidR="003F4C5D" w:rsidRDefault="003F4C5D" w:rsidP="00F04CC6">
            <w:r>
              <w:rPr>
                <w:rStyle w:val="RTiSWDocLiteralText"/>
              </w:rPr>
              <w:t>False</w:t>
            </w:r>
            <w:r>
              <w:t xml:space="preserve"> (only the values in the initial time series will be used for historical data).</w:t>
            </w:r>
          </w:p>
        </w:tc>
      </w:tr>
    </w:tbl>
    <w:p w:rsidR="001B6901" w:rsidRDefault="001B6901">
      <w:pPr>
        <w:rPr>
          <w:color w:val="C0C0C0"/>
        </w:rPr>
      </w:pPr>
      <w:bookmarkStart w:id="1" w:name="_GoBack"/>
      <w:bookmarkEnd w:id="0"/>
      <w:bookmarkEnd w:id="1"/>
    </w:p>
    <w:sectPr w:rsidR="001B6901" w:rsidSect="007E13E5">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45F" w:rsidRDefault="00E4345F">
      <w:r>
        <w:separator/>
      </w:r>
    </w:p>
  </w:endnote>
  <w:endnote w:type="continuationSeparator" w:id="0">
    <w:p w:rsidR="00E4345F" w:rsidRDefault="00E43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901" w:rsidRDefault="001A68F7">
    <w:pPr>
      <w:pStyle w:val="RTiSWDocFooter"/>
    </w:pPr>
    <w:r>
      <w:t xml:space="preserve">Command Reference – </w:t>
    </w:r>
    <w:proofErr w:type="spellStart"/>
    <w:proofErr w:type="gramStart"/>
    <w:r>
      <w:t>F</w:t>
    </w:r>
    <w:r w:rsidR="001B6901">
      <w:t>illFromTS</w:t>
    </w:r>
    <w:proofErr w:type="spellEnd"/>
    <w:r w:rsidR="001B6901">
      <w:t>(</w:t>
    </w:r>
    <w:proofErr w:type="gramEnd"/>
    <w:r w:rsidR="001B6901">
      <w:t xml:space="preserve">) - </w:t>
    </w:r>
    <w:r w:rsidR="001B6901">
      <w:fldChar w:fldCharType="begin"/>
    </w:r>
    <w:r w:rsidR="001B6901">
      <w:instrText xml:space="preserve"> PAGE </w:instrText>
    </w:r>
    <w:r w:rsidR="001B6901">
      <w:fldChar w:fldCharType="separate"/>
    </w:r>
    <w:r w:rsidR="00BF1E6E">
      <w:rPr>
        <w:noProof/>
      </w:rPr>
      <w:t>2</w:t>
    </w:r>
    <w:r w:rsidR="001B6901">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901" w:rsidRDefault="00AE7171" w:rsidP="00AE7171">
    <w:pPr>
      <w:pStyle w:val="RTiSWDocFooter"/>
    </w:pPr>
    <w:r>
      <w:tab/>
    </w:r>
    <w:r w:rsidR="001B6901">
      <w:t xml:space="preserve">Command Reference – </w:t>
    </w:r>
    <w:proofErr w:type="spellStart"/>
    <w:proofErr w:type="gramStart"/>
    <w:r>
      <w:t>F</w:t>
    </w:r>
    <w:r w:rsidR="001B6901">
      <w:t>illFromTS</w:t>
    </w:r>
    <w:proofErr w:type="spellEnd"/>
    <w:r w:rsidR="001B6901">
      <w:t>(</w:t>
    </w:r>
    <w:proofErr w:type="gramEnd"/>
    <w:r w:rsidR="001B6901">
      <w:t xml:space="preserve">) - </w:t>
    </w:r>
    <w:r w:rsidR="001B6901">
      <w:fldChar w:fldCharType="begin"/>
    </w:r>
    <w:r w:rsidR="001B6901">
      <w:instrText xml:space="preserve"> PAGE </w:instrText>
    </w:r>
    <w:r w:rsidR="001B6901">
      <w:fldChar w:fldCharType="separate"/>
    </w:r>
    <w:r w:rsidR="00BF1E6E">
      <w:rPr>
        <w:noProof/>
      </w:rPr>
      <w:t>3</w:t>
    </w:r>
    <w:r w:rsidR="001B6901">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FD" w:rsidRDefault="004174FD" w:rsidP="004174FD">
    <w:pPr>
      <w:pStyle w:val="RTiSWDocFooter"/>
    </w:pPr>
    <w:r>
      <w:tab/>
    </w:r>
    <w:r w:rsidRPr="004174FD">
      <w:t xml:space="preserve">Command Reference – </w:t>
    </w:r>
    <w:proofErr w:type="spellStart"/>
    <w:proofErr w:type="gramStart"/>
    <w:r w:rsidRPr="004174FD">
      <w:t>FillFromTS</w:t>
    </w:r>
    <w:proofErr w:type="spellEnd"/>
    <w:r w:rsidRPr="004174FD">
      <w:t>(</w:t>
    </w:r>
    <w:proofErr w:type="gramEnd"/>
    <w:r w:rsidRPr="004174FD">
      <w:t xml:space="preserve">) - </w:t>
    </w:r>
    <w:r w:rsidRPr="004174FD">
      <w:rPr>
        <w:rStyle w:val="PageNumber"/>
      </w:rPr>
      <w:fldChar w:fldCharType="begin"/>
    </w:r>
    <w:r w:rsidRPr="004174FD">
      <w:rPr>
        <w:rStyle w:val="PageNumber"/>
      </w:rPr>
      <w:instrText xml:space="preserve"> PAGE </w:instrText>
    </w:r>
    <w:r w:rsidRPr="004174FD">
      <w:rPr>
        <w:rStyle w:val="PageNumber"/>
      </w:rPr>
      <w:fldChar w:fldCharType="separate"/>
    </w:r>
    <w:r w:rsidR="00BF1E6E">
      <w:rPr>
        <w:rStyle w:val="PageNumber"/>
        <w:noProof/>
      </w:rPr>
      <w:t>1</w:t>
    </w:r>
    <w:r w:rsidRPr="004174F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45F" w:rsidRDefault="00E4345F">
      <w:r>
        <w:separator/>
      </w:r>
    </w:p>
  </w:footnote>
  <w:footnote w:type="continuationSeparator" w:id="0">
    <w:p w:rsidR="00E4345F" w:rsidRDefault="00E434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901" w:rsidRDefault="001A68F7">
    <w:pPr>
      <w:pStyle w:val="RTiSWDocHeader"/>
    </w:pPr>
    <w:proofErr w:type="spellStart"/>
    <w:proofErr w:type="gramStart"/>
    <w:r>
      <w:t>F</w:t>
    </w:r>
    <w:r w:rsidR="001B6901">
      <w:t>illFromTS</w:t>
    </w:r>
    <w:proofErr w:type="spellEnd"/>
    <w:r w:rsidR="001B6901">
      <w:t>(</w:t>
    </w:r>
    <w:proofErr w:type="gramEnd"/>
    <w:r w:rsidR="001B6901">
      <w:t>) Command</w:t>
    </w:r>
    <w:r w:rsidR="001B6901">
      <w:tab/>
    </w:r>
    <w:proofErr w:type="spellStart"/>
    <w:r w:rsidR="001B6901">
      <w:t>TSTool</w:t>
    </w:r>
    <w:proofErr w:type="spellEnd"/>
    <w:r w:rsidR="001B6901">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901" w:rsidRDefault="001B6901" w:rsidP="00AE7171">
    <w:pPr>
      <w:pStyle w:val="RTiSWDocHeader"/>
    </w:pPr>
    <w:proofErr w:type="spellStart"/>
    <w:r>
      <w:t>TSTool</w:t>
    </w:r>
    <w:proofErr w:type="spellEnd"/>
    <w:r>
      <w:t xml:space="preserve"> Documentation</w:t>
    </w:r>
    <w:r>
      <w:tab/>
    </w:r>
    <w:proofErr w:type="spellStart"/>
    <w:proofErr w:type="gramStart"/>
    <w:r w:rsidR="00AE7171">
      <w:t>F</w:t>
    </w:r>
    <w:r>
      <w:t>illFromTS</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901" w:rsidRDefault="001B6901">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8F7"/>
    <w:rsid w:val="000A70D3"/>
    <w:rsid w:val="001559AD"/>
    <w:rsid w:val="00165424"/>
    <w:rsid w:val="001A68F7"/>
    <w:rsid w:val="001A7908"/>
    <w:rsid w:val="001B5861"/>
    <w:rsid w:val="001B6901"/>
    <w:rsid w:val="002A619A"/>
    <w:rsid w:val="002E3A59"/>
    <w:rsid w:val="003521E3"/>
    <w:rsid w:val="003F115D"/>
    <w:rsid w:val="003F4C5D"/>
    <w:rsid w:val="004102FF"/>
    <w:rsid w:val="004174FD"/>
    <w:rsid w:val="005A607C"/>
    <w:rsid w:val="005D79A7"/>
    <w:rsid w:val="0062642C"/>
    <w:rsid w:val="007C41E5"/>
    <w:rsid w:val="007E13E5"/>
    <w:rsid w:val="00807E59"/>
    <w:rsid w:val="00871106"/>
    <w:rsid w:val="008B77FA"/>
    <w:rsid w:val="00A60EB9"/>
    <w:rsid w:val="00A80CAD"/>
    <w:rsid w:val="00AE5CB6"/>
    <w:rsid w:val="00AE7171"/>
    <w:rsid w:val="00B46D0E"/>
    <w:rsid w:val="00B971C6"/>
    <w:rsid w:val="00BA00EA"/>
    <w:rsid w:val="00BF1E6E"/>
    <w:rsid w:val="00DF5ED8"/>
    <w:rsid w:val="00E401DC"/>
    <w:rsid w:val="00E4345F"/>
    <w:rsid w:val="00EF41E5"/>
    <w:rsid w:val="00F0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0C23773-2CFA-4AEA-A4CD-4F081A49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DF5ED8"/>
    <w:rPr>
      <w:sz w:val="22"/>
    </w:rPr>
  </w:style>
  <w:style w:type="paragraph" w:styleId="Heading1">
    <w:name w:val="heading 1"/>
    <w:aliases w:val="RTi SW Doc"/>
    <w:qFormat/>
    <w:rsid w:val="00DF5ED8"/>
    <w:pPr>
      <w:keepNext/>
      <w:outlineLvl w:val="0"/>
    </w:pPr>
    <w:rPr>
      <w:rFonts w:ascii="Arial Bold" w:hAnsi="Arial Bold"/>
      <w:b/>
      <w:sz w:val="24"/>
    </w:rPr>
  </w:style>
  <w:style w:type="paragraph" w:styleId="Heading2">
    <w:name w:val="heading 2"/>
    <w:aliases w:val="RTi SW Doc 2"/>
    <w:qFormat/>
    <w:rsid w:val="00DF5ED8"/>
    <w:pPr>
      <w:keepNext/>
      <w:outlineLvl w:val="1"/>
    </w:pPr>
    <w:rPr>
      <w:rFonts w:ascii="Arial Bold" w:hAnsi="Arial Bold"/>
      <w:b/>
    </w:rPr>
  </w:style>
  <w:style w:type="paragraph" w:styleId="Heading3">
    <w:name w:val="heading 3"/>
    <w:aliases w:val="RTi SW Doc 3"/>
    <w:qFormat/>
    <w:rsid w:val="00DF5ED8"/>
    <w:pPr>
      <w:keepNext/>
      <w:outlineLvl w:val="2"/>
    </w:pPr>
    <w:rPr>
      <w:rFonts w:ascii="Arial Bold" w:hAnsi="Arial Bold"/>
      <w:b/>
      <w:i/>
    </w:rPr>
  </w:style>
  <w:style w:type="paragraph" w:styleId="Heading4">
    <w:name w:val="heading 4"/>
    <w:aliases w:val="RTi SW Doc 4"/>
    <w:qFormat/>
    <w:rsid w:val="00DF5ED8"/>
    <w:pPr>
      <w:keepNext/>
      <w:outlineLvl w:val="3"/>
    </w:pPr>
    <w:rPr>
      <w:rFonts w:ascii="Arial" w:hAnsi="Arial"/>
      <w:i/>
    </w:rPr>
  </w:style>
  <w:style w:type="paragraph" w:styleId="Heading5">
    <w:name w:val="heading 5"/>
    <w:aliases w:val="RTi SW Doc 5"/>
    <w:qFormat/>
    <w:rsid w:val="00DF5ED8"/>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rsid w:val="00DF5ED8"/>
    <w:pPr>
      <w:jc w:val="right"/>
    </w:pPr>
    <w:rPr>
      <w:rFonts w:ascii="Arial Bold" w:hAnsi="Arial Bold"/>
      <w:b/>
      <w:sz w:val="24"/>
    </w:rPr>
  </w:style>
  <w:style w:type="paragraph" w:customStyle="1" w:styleId="RTiSWDocFooter">
    <w:name w:val="RTi SW Doc Footer"/>
    <w:rsid w:val="00DF5ED8"/>
    <w:pPr>
      <w:pBdr>
        <w:top w:val="single" w:sz="4" w:space="1" w:color="auto"/>
      </w:pBdr>
      <w:tabs>
        <w:tab w:val="right" w:pos="9360"/>
      </w:tabs>
    </w:pPr>
    <w:rPr>
      <w:rFonts w:ascii="Arial" w:hAnsi="Arial"/>
      <w:sz w:val="16"/>
    </w:rPr>
  </w:style>
  <w:style w:type="paragraph" w:customStyle="1" w:styleId="RTiSWDocHeader">
    <w:name w:val="RTi SW Doc Header"/>
    <w:rsid w:val="00DF5ED8"/>
    <w:pPr>
      <w:pBdr>
        <w:bottom w:val="single" w:sz="4" w:space="1" w:color="auto"/>
      </w:pBdr>
      <w:tabs>
        <w:tab w:val="right" w:pos="9360"/>
      </w:tabs>
    </w:pPr>
    <w:rPr>
      <w:rFonts w:ascii="Arial" w:hAnsi="Arial"/>
    </w:rPr>
  </w:style>
  <w:style w:type="paragraph" w:customStyle="1" w:styleId="RTiSWDocMainTitle">
    <w:name w:val="RTi SW Doc Main Title"/>
    <w:rsid w:val="00DF5ED8"/>
    <w:pPr>
      <w:jc w:val="center"/>
    </w:pPr>
    <w:rPr>
      <w:rFonts w:ascii="Arial Bold" w:hAnsi="Arial Bold"/>
      <w:b/>
      <w:sz w:val="48"/>
    </w:rPr>
  </w:style>
  <w:style w:type="paragraph" w:customStyle="1" w:styleId="RTiSWDocNote">
    <w:name w:val="RTi SW Doc Note"/>
    <w:rsid w:val="00DF5ED8"/>
    <w:pPr>
      <w:jc w:val="right"/>
    </w:pPr>
    <w:rPr>
      <w:rFonts w:ascii="Arial" w:hAnsi="Arial"/>
      <w:sz w:val="12"/>
    </w:rPr>
  </w:style>
  <w:style w:type="paragraph" w:customStyle="1" w:styleId="RTiSWDocSubtitle">
    <w:name w:val="RTi SW Doc Subtitle"/>
    <w:rsid w:val="00DF5ED8"/>
    <w:pPr>
      <w:jc w:val="center"/>
    </w:pPr>
    <w:rPr>
      <w:rFonts w:ascii="Arial Bold" w:hAnsi="Arial Bold"/>
      <w:sz w:val="28"/>
    </w:rPr>
  </w:style>
  <w:style w:type="paragraph" w:customStyle="1" w:styleId="RTiSWDocToC">
    <w:name w:val="RTi SW Doc ToC"/>
    <w:rsid w:val="00DF5ED8"/>
    <w:pPr>
      <w:tabs>
        <w:tab w:val="left" w:pos="360"/>
        <w:tab w:val="left" w:pos="720"/>
      </w:tabs>
    </w:pPr>
    <w:rPr>
      <w:rFonts w:ascii="Arial" w:hAnsi="Arial"/>
      <w:sz w:val="22"/>
    </w:rPr>
  </w:style>
  <w:style w:type="paragraph" w:customStyle="1" w:styleId="RTiSWDocChapterTitle">
    <w:name w:val="RTi SW Doc Chapter Title"/>
    <w:rsid w:val="00DF5ED8"/>
    <w:pPr>
      <w:jc w:val="right"/>
    </w:pPr>
    <w:rPr>
      <w:rFonts w:ascii="Arial Bold" w:hAnsi="Arial Bold"/>
      <w:b/>
      <w:sz w:val="40"/>
    </w:rPr>
  </w:style>
  <w:style w:type="paragraph" w:customStyle="1" w:styleId="RTiSWDocFigureTableTitle">
    <w:name w:val="RTi SW Doc Figure/Table Title"/>
    <w:basedOn w:val="Normal"/>
    <w:next w:val="Normal"/>
    <w:rsid w:val="00DF5ED8"/>
    <w:pPr>
      <w:jc w:val="center"/>
    </w:pPr>
    <w:rPr>
      <w:rFonts w:ascii="Arial" w:hAnsi="Arial"/>
      <w:b/>
      <w:sz w:val="20"/>
    </w:rPr>
  </w:style>
  <w:style w:type="character" w:customStyle="1" w:styleId="RTiSWDocFileDirReference">
    <w:name w:val="RTi SW Doc File/Dir Reference"/>
    <w:basedOn w:val="DefaultParagraphFont"/>
    <w:rsid w:val="00DF5ED8"/>
    <w:rPr>
      <w:rFonts w:ascii="Times New Roman" w:hAnsi="Times New Roman"/>
      <w:i/>
      <w:sz w:val="22"/>
    </w:rPr>
  </w:style>
  <w:style w:type="character" w:customStyle="1" w:styleId="RTiSWDocGUIReference">
    <w:name w:val="RTi SW Doc GUI Reference"/>
    <w:basedOn w:val="DefaultParagraphFont"/>
    <w:rsid w:val="00DF5ED8"/>
    <w:rPr>
      <w:rFonts w:ascii="Arial" w:hAnsi="Arial"/>
      <w:b/>
      <w:i/>
      <w:sz w:val="20"/>
    </w:rPr>
  </w:style>
  <w:style w:type="character" w:customStyle="1" w:styleId="RTiSWDocLiteralText">
    <w:name w:val="RTi SW Doc Literal Text"/>
    <w:basedOn w:val="DefaultParagraphFont"/>
    <w:rsid w:val="003F4C5D"/>
    <w:rPr>
      <w:rFonts w:ascii="Courier New" w:hAnsi="Courier New"/>
      <w:sz w:val="22"/>
    </w:rPr>
  </w:style>
  <w:style w:type="character" w:customStyle="1" w:styleId="RTiSWDocLiteralTextInput">
    <w:name w:val="RTi SW Doc Literal Text Input"/>
    <w:basedOn w:val="DefaultParagraphFont"/>
    <w:rsid w:val="003F4C5D"/>
    <w:rPr>
      <w:rFonts w:ascii="Courier New" w:hAnsi="Courier New"/>
      <w:b/>
      <w:sz w:val="22"/>
    </w:rPr>
  </w:style>
  <w:style w:type="character" w:customStyle="1" w:styleId="RTiSWDocSectionReference">
    <w:name w:val="RTi SW Doc Section Reference"/>
    <w:basedOn w:val="DefaultParagraphFont"/>
    <w:rsid w:val="00DF5ED8"/>
    <w:rPr>
      <w:rFonts w:ascii="Arial" w:hAnsi="Arial"/>
      <w:b/>
      <w:sz w:val="20"/>
    </w:rPr>
  </w:style>
  <w:style w:type="paragraph" w:customStyle="1" w:styleId="RTiSWDocTableHeading">
    <w:name w:val="RTi SW Doc Table Heading"/>
    <w:basedOn w:val="Normal"/>
    <w:next w:val="Normal"/>
    <w:rsid w:val="00DF5ED8"/>
    <w:rPr>
      <w:rFonts w:ascii="Arial" w:hAnsi="Arial"/>
      <w:b/>
    </w:rPr>
  </w:style>
  <w:style w:type="paragraph" w:styleId="PlainText">
    <w:name w:val="Plain Text"/>
    <w:basedOn w:val="Normal"/>
    <w:rsid w:val="001A68F7"/>
    <w:rPr>
      <w:rFonts w:ascii="Courier New" w:hAnsi="Courier New" w:cs="Courier New"/>
      <w:sz w:val="20"/>
    </w:rPr>
  </w:style>
  <w:style w:type="character" w:styleId="FollowedHyperlink">
    <w:name w:val="FollowedHyperlink"/>
    <w:basedOn w:val="DefaultParagraphFont"/>
    <w:rsid w:val="005D79A7"/>
    <w:rPr>
      <w:color w:val="800080"/>
      <w:u w:val="single"/>
    </w:rPr>
  </w:style>
  <w:style w:type="character" w:styleId="PageNumber">
    <w:name w:val="page number"/>
    <w:basedOn w:val="DefaultParagraphFont"/>
    <w:rsid w:val="00417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3</cp:revision>
  <cp:lastPrinted>2004-02-15T20:50:00Z</cp:lastPrinted>
  <dcterms:created xsi:type="dcterms:W3CDTF">2015-06-29T07:54:00Z</dcterms:created>
  <dcterms:modified xsi:type="dcterms:W3CDTF">2015-06-29T08:02:00Z</dcterms:modified>
</cp:coreProperties>
</file>