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5671" w:rsidRDefault="00085671">
      <w:pPr>
        <w:pStyle w:val="RTiSWDocChapterTitle"/>
      </w:pPr>
      <w:r>
        <w:t xml:space="preserve">Command Reference: </w:t>
      </w:r>
      <w:r w:rsidR="001750DB">
        <w:t xml:space="preserve"> </w:t>
      </w:r>
      <w:proofErr w:type="gramStart"/>
      <w:r w:rsidR="001750DB">
        <w:t>F</w:t>
      </w:r>
      <w:r>
        <w:t>illMOVE2()</w:t>
      </w:r>
      <w:proofErr w:type="gramEnd"/>
    </w:p>
    <w:p w:rsidR="00085671" w:rsidRDefault="00085671">
      <w:pPr>
        <w:pStyle w:val="RTiSWDocChapterSubtitle"/>
      </w:pPr>
      <w:r>
        <w:t>Fill missing data in time series using the Maintenance of Variance Extension (MOVE.2) procedure</w:t>
      </w:r>
    </w:p>
    <w:p w:rsidR="00085671" w:rsidRDefault="00085671">
      <w:pPr>
        <w:pStyle w:val="RTiSWDocNote"/>
      </w:pPr>
      <w:r>
        <w:t xml:space="preserve">Version </w:t>
      </w:r>
      <w:r w:rsidR="007F6228">
        <w:t>11</w:t>
      </w:r>
      <w:r>
        <w:t>.</w:t>
      </w:r>
      <w:r w:rsidR="007F6228">
        <w:t>06</w:t>
      </w:r>
      <w:r>
        <w:t>.0</w:t>
      </w:r>
      <w:r w:rsidR="007F6228">
        <w:t>1</w:t>
      </w:r>
      <w:r>
        <w:t>, 20</w:t>
      </w:r>
      <w:r w:rsidR="007F6228">
        <w:t>11</w:t>
      </w:r>
      <w:r>
        <w:t>-0</w:t>
      </w:r>
      <w:r w:rsidR="007F6228">
        <w:t>7</w:t>
      </w:r>
      <w:r>
        <w:t>-</w:t>
      </w:r>
      <w:r w:rsidR="007F6228">
        <w:t>29</w:t>
      </w:r>
    </w:p>
    <w:p w:rsidR="00085671" w:rsidRDefault="00085671">
      <w:pPr>
        <w:rPr>
          <w:b/>
        </w:rPr>
      </w:pPr>
    </w:p>
    <w:p w:rsidR="00085671" w:rsidRDefault="00085671">
      <w:pPr>
        <w:rPr>
          <w:b/>
        </w:rPr>
      </w:pPr>
    </w:p>
    <w:p w:rsidR="00085671" w:rsidRDefault="00085671">
      <w:r>
        <w:t xml:space="preserve">The </w:t>
      </w:r>
      <w:proofErr w:type="gramStart"/>
      <w:r w:rsidR="001750DB">
        <w:rPr>
          <w:rStyle w:val="RTiSWDocLiteralText"/>
        </w:rPr>
        <w:t>F</w:t>
      </w:r>
      <w:r>
        <w:rPr>
          <w:rStyle w:val="RTiSWDocLiteralText"/>
        </w:rPr>
        <w:t>illMOVE2(</w:t>
      </w:r>
      <w:proofErr w:type="gramEnd"/>
      <w:r>
        <w:rPr>
          <w:rStyle w:val="RTiSWDocLiteralText"/>
        </w:rPr>
        <w:t>)</w:t>
      </w:r>
      <w:r>
        <w:t xml:space="preserve"> command fills missing data in a time series using the MOVE.2 procedure (see the </w:t>
      </w:r>
      <w:r w:rsidR="001750DB">
        <w:rPr>
          <w:rStyle w:val="RTiSWDocLiteralText"/>
        </w:rPr>
        <w:t>F</w:t>
      </w:r>
      <w:r>
        <w:rPr>
          <w:rStyle w:val="RTiSWDocLiteralText"/>
        </w:rPr>
        <w:t>illMOVE1()</w:t>
      </w:r>
      <w:r>
        <w:t xml:space="preserve"> command for background information).  The MOVE.2 procedure uses the Two-Station Comparison procedure described in </w:t>
      </w:r>
      <w:r>
        <w:rPr>
          <w:rStyle w:val="RTiSWDocSectionReference"/>
        </w:rPr>
        <w:t>Appendix 7 of Bulletin 17B, Guidelines for Determining Flood Flow Frequency, USGS</w:t>
      </w:r>
      <w:r>
        <w:t xml:space="preserve">, to compute improved estimates of the mean and variance at the dependent or short-term station and uses all the data at the dependent time series to estimate the mean and variance of the dependent time series.  </w:t>
      </w:r>
      <w:r w:rsidR="007F6228">
        <w:t xml:space="preserve">See also:  </w:t>
      </w:r>
      <w:r w:rsidR="007F6228" w:rsidRPr="00913FCE">
        <w:t xml:space="preserve">Hirsch, R. M., 1982, </w:t>
      </w:r>
      <w:r w:rsidR="007F6228">
        <w:t>“</w:t>
      </w:r>
      <w:r w:rsidR="007F6228" w:rsidRPr="00913FCE">
        <w:t>A Comparison of Four Streamflow Record Extension Techniques</w:t>
      </w:r>
      <w:r w:rsidR="007F6228">
        <w:t xml:space="preserve">”, </w:t>
      </w:r>
      <w:r w:rsidR="007F6228" w:rsidRPr="00913FCE">
        <w:t>Water Resources Research, Vol. 18, No. 4, pages 1081-1088.</w:t>
      </w:r>
      <w:r w:rsidR="007F6228">
        <w:t xml:space="preserve">  </w:t>
      </w:r>
      <w:bookmarkStart w:id="0" w:name="_GoBack"/>
      <w:bookmarkEnd w:id="0"/>
      <w:r>
        <w:t>The MOVE.2 procedure has been shown to be marginally better than MOVE.1.  The following MOVE.2 equation is used to estimate values for the dependent time series from the independent time series:</w:t>
      </w:r>
    </w:p>
    <w:p w:rsidR="00085671" w:rsidRDefault="00085671">
      <w:pPr>
        <w:ind w:left="-1440" w:right="-810"/>
        <w:jc w:val="center"/>
        <w:rPr>
          <w:i/>
        </w:rPr>
      </w:pPr>
      <w:r>
        <w:rPr>
          <w:i/>
          <w:position w:val="-30"/>
        </w:rPr>
        <w:object w:dxaOrig="26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25.2pt" o:ole="" fillcolor="window">
            <v:imagedata r:id="rId6" o:title=""/>
          </v:shape>
          <o:OLEObject Type="Embed" ProgID="Equation.3" ShapeID="_x0000_i1025" DrawAspect="Content" ObjectID="_1499719102" r:id="rId7"/>
        </w:object>
      </w:r>
    </w:p>
    <w:p w:rsidR="00085671" w:rsidRDefault="00085671">
      <w:proofErr w:type="gramStart"/>
      <w:r>
        <w:t>where</w:t>
      </w:r>
      <w:proofErr w:type="gramEnd"/>
    </w:p>
    <w:p w:rsidR="00085671" w:rsidRDefault="00085671"/>
    <w:p w:rsidR="00085671" w:rsidRDefault="00085671">
      <w:r>
        <w:rPr>
          <w:i/>
          <w:position w:val="-12"/>
        </w:rPr>
        <w:object w:dxaOrig="440" w:dyaOrig="360">
          <v:shape id="_x0000_i1026" type="#_x0000_t75" style="width:25.8pt;height:18pt" o:ole="" fillcolor="window">
            <v:imagedata r:id="rId8" o:title=""/>
          </v:shape>
          <o:OLEObject Type="Embed" ProgID="Equation.3" ShapeID="_x0000_i1026" DrawAspect="Content" ObjectID="_1499719103" r:id="rId9"/>
        </w:object>
      </w:r>
      <w:proofErr w:type="gramStart"/>
      <w:r>
        <w:t>discharge</w:t>
      </w:r>
      <w:proofErr w:type="gramEnd"/>
      <w:r>
        <w:t xml:space="preserve"> for dependent time series</w:t>
      </w:r>
    </w:p>
    <w:p w:rsidR="00085671" w:rsidRDefault="00085671">
      <w:pPr>
        <w:rPr>
          <w:i/>
        </w:rPr>
      </w:pPr>
      <w:r>
        <w:rPr>
          <w:i/>
          <w:position w:val="-12"/>
        </w:rPr>
        <w:object w:dxaOrig="520" w:dyaOrig="360">
          <v:shape id="_x0000_i1027" type="#_x0000_t75" style="width:29.4pt;height:18pt" o:ole="" fillcolor="window">
            <v:imagedata r:id="rId10" o:title=""/>
          </v:shape>
          <o:OLEObject Type="Embed" ProgID="Equation.3" ShapeID="_x0000_i1027" DrawAspect="Content" ObjectID="_1499719104" r:id="rId11"/>
        </w:object>
      </w:r>
      <w:proofErr w:type="gramStart"/>
      <w:r>
        <w:t>discharge</w:t>
      </w:r>
      <w:proofErr w:type="gramEnd"/>
      <w:r>
        <w:t xml:space="preserve"> for independent time series</w:t>
      </w:r>
    </w:p>
    <w:p w:rsidR="00085671" w:rsidRDefault="00085671">
      <w:pPr>
        <w:rPr>
          <w:i/>
        </w:rPr>
      </w:pPr>
      <w:r>
        <w:rPr>
          <w:i/>
          <w:position w:val="-4"/>
          <w:sz w:val="28"/>
        </w:rPr>
        <w:object w:dxaOrig="480" w:dyaOrig="300">
          <v:shape id="_x0000_i1028" type="#_x0000_t75" style="width:32.4pt;height:15pt" o:ole="" fillcolor="window">
            <v:imagedata r:id="rId12" o:title=""/>
          </v:shape>
          <o:OLEObject Type="Embed" ProgID="Equation.3" ShapeID="_x0000_i1028" DrawAspect="Content" ObjectID="_1499719105" r:id="rId13"/>
        </w:object>
      </w:r>
      <w:proofErr w:type="gramStart"/>
      <w:r>
        <w:t>mean</w:t>
      </w:r>
      <w:proofErr w:type="gramEnd"/>
      <w:r>
        <w:t xml:space="preserve"> for independent time series for</w:t>
      </w:r>
      <w:r>
        <w:rPr>
          <w:i/>
        </w:rPr>
        <w:t xml:space="preserve"> </w:t>
      </w:r>
      <w:r>
        <w:rPr>
          <w:i/>
          <w:position w:val="-10"/>
        </w:rPr>
        <w:object w:dxaOrig="820" w:dyaOrig="340">
          <v:shape id="_x0000_i1029" type="#_x0000_t75" style="width:60pt;height:17.4pt" o:ole="" fillcolor="window">
            <v:imagedata r:id="rId14" o:title=""/>
          </v:shape>
          <o:OLEObject Type="Embed" ProgID="Equation.3" ShapeID="_x0000_i1029" DrawAspect="Content" ObjectID="_1499719106" r:id="rId15"/>
        </w:object>
      </w:r>
      <w:r>
        <w:rPr>
          <w:i/>
        </w:rPr>
        <w:t xml:space="preserve"> </w:t>
      </w:r>
      <w:r>
        <w:t xml:space="preserve">years ( N </w:t>
      </w:r>
      <w:r>
        <w:rPr>
          <w:vertAlign w:val="subscript"/>
        </w:rPr>
        <w:t>2</w:t>
      </w:r>
      <w:r>
        <w:t xml:space="preserve"> is the additional years in the long-term time series)</w:t>
      </w:r>
    </w:p>
    <w:p w:rsidR="00085671" w:rsidRDefault="00085671">
      <w:pPr>
        <w:rPr>
          <w:i/>
        </w:rPr>
      </w:pPr>
      <w:r>
        <w:rPr>
          <w:i/>
          <w:position w:val="-12"/>
        </w:rPr>
        <w:object w:dxaOrig="520" w:dyaOrig="360">
          <v:shape id="_x0000_i1030" type="#_x0000_t75" style="width:30.6pt;height:18pt" o:ole="" fillcolor="window">
            <v:imagedata r:id="rId16" o:title=""/>
          </v:shape>
          <o:OLEObject Type="Embed" ProgID="Equation.3" ShapeID="_x0000_i1030" DrawAspect="Content" ObjectID="_1499719107" r:id="rId17"/>
        </w:object>
      </w:r>
      <w:proofErr w:type="gramStart"/>
      <w:r>
        <w:t>standard</w:t>
      </w:r>
      <w:proofErr w:type="gramEnd"/>
      <w:r>
        <w:t xml:space="preserve"> deviation for independent time series for</w:t>
      </w:r>
      <w:r>
        <w:rPr>
          <w:i/>
        </w:rPr>
        <w:t xml:space="preserve"> </w:t>
      </w:r>
      <w:r>
        <w:rPr>
          <w:i/>
          <w:position w:val="-10"/>
        </w:rPr>
        <w:object w:dxaOrig="820" w:dyaOrig="340">
          <v:shape id="_x0000_i1031" type="#_x0000_t75" style="width:60pt;height:17.4pt" o:ole="" fillcolor="window">
            <v:imagedata r:id="rId14" o:title=""/>
          </v:shape>
          <o:OLEObject Type="Embed" ProgID="Equation.3" ShapeID="_x0000_i1031" DrawAspect="Content" ObjectID="_1499719108" r:id="rId18"/>
        </w:object>
      </w:r>
      <w:r>
        <w:rPr>
          <w:i/>
        </w:rPr>
        <w:t xml:space="preserve"> </w:t>
      </w:r>
      <w:r>
        <w:t>years</w:t>
      </w:r>
    </w:p>
    <w:p w:rsidR="00085671" w:rsidRDefault="00085671">
      <w:pPr>
        <w:rPr>
          <w:i/>
        </w:rPr>
      </w:pPr>
    </w:p>
    <w:tbl>
      <w:tblPr>
        <w:tblW w:w="0" w:type="auto"/>
        <w:jc w:val="center"/>
        <w:tblLayout w:type="fixed"/>
        <w:tblLook w:val="0000" w:firstRow="0" w:lastRow="0" w:firstColumn="0" w:lastColumn="0" w:noHBand="0" w:noVBand="0"/>
      </w:tblPr>
      <w:tblGrid>
        <w:gridCol w:w="4068"/>
        <w:gridCol w:w="5508"/>
      </w:tblGrid>
      <w:tr w:rsidR="00085671">
        <w:trPr>
          <w:jc w:val="center"/>
        </w:trPr>
        <w:tc>
          <w:tcPr>
            <w:tcW w:w="4068" w:type="dxa"/>
          </w:tcPr>
          <w:p w:rsidR="00085671" w:rsidRDefault="00085671">
            <w:pPr>
              <w:rPr>
                <w:i/>
              </w:rPr>
            </w:pPr>
            <w:r>
              <w:rPr>
                <w:i/>
                <w:position w:val="-30"/>
              </w:rPr>
              <w:object w:dxaOrig="2960" w:dyaOrig="700">
                <v:shape id="_x0000_i1032" type="#_x0000_t75" style="width:129pt;height:27.6pt" o:ole="" fillcolor="window">
                  <v:imagedata r:id="rId19" o:title=""/>
                </v:shape>
                <o:OLEObject Type="Embed" ProgID="Equation.3" ShapeID="_x0000_i1032" DrawAspect="Content" ObjectID="_1499719109" r:id="rId20"/>
              </w:object>
            </w:r>
          </w:p>
        </w:tc>
        <w:tc>
          <w:tcPr>
            <w:tcW w:w="5508" w:type="dxa"/>
          </w:tcPr>
          <w:p w:rsidR="00085671" w:rsidRDefault="00085671">
            <w:pPr>
              <w:rPr>
                <w:i/>
              </w:rPr>
            </w:pPr>
            <w:r>
              <w:t xml:space="preserve">(Equation 7-5a for Two-Station Comparison in </w:t>
            </w:r>
            <w:r>
              <w:rPr>
                <w:rStyle w:val="RTiSWDocSectionReference"/>
              </w:rPr>
              <w:t>Appendix 7 of Bulletin 17B</w:t>
            </w:r>
            <w:r>
              <w:t>)</w:t>
            </w:r>
          </w:p>
        </w:tc>
      </w:tr>
    </w:tbl>
    <w:p w:rsidR="00085671" w:rsidRDefault="00085671">
      <w:pPr>
        <w:rPr>
          <w:i/>
        </w:rPr>
      </w:pPr>
    </w:p>
    <w:p w:rsidR="00085671" w:rsidRDefault="00085671">
      <w:pPr>
        <w:rPr>
          <w:i/>
        </w:rPr>
      </w:pPr>
      <w:r>
        <w:rPr>
          <w:i/>
          <w:position w:val="-28"/>
          <w:sz w:val="18"/>
        </w:rPr>
        <w:object w:dxaOrig="10579" w:dyaOrig="740">
          <v:shape id="_x0000_i1033" type="#_x0000_t75" style="width:468pt;height:30.6pt" o:ole="" fillcolor="window">
            <v:imagedata r:id="rId21" o:title=""/>
          </v:shape>
          <o:OLEObject Type="Embed" ProgID="Equation.3" ShapeID="_x0000_i1033" DrawAspect="Content" ObjectID="_1499719110" r:id="rId22"/>
        </w:object>
      </w:r>
    </w:p>
    <w:p w:rsidR="00085671" w:rsidRDefault="00085671">
      <w:r>
        <w:t xml:space="preserve">(Equation 7-10 for Two-Station Comparison in </w:t>
      </w:r>
      <w:r>
        <w:rPr>
          <w:rStyle w:val="RTiSWDocSectionReference"/>
        </w:rPr>
        <w:t>Appendix 7 of Bulletin 17B</w:t>
      </w:r>
      <w:r>
        <w:t>)</w:t>
      </w:r>
    </w:p>
    <w:p w:rsidR="00085671" w:rsidRDefault="00085671">
      <w:proofErr w:type="gramStart"/>
      <w:r>
        <w:t>where</w:t>
      </w:r>
      <w:proofErr w:type="gramEnd"/>
    </w:p>
    <w:p w:rsidR="00085671" w:rsidRDefault="00085671">
      <w:pPr>
        <w:rPr>
          <w:i/>
        </w:rPr>
      </w:pPr>
      <w:r>
        <w:rPr>
          <w:i/>
          <w:position w:val="-30"/>
        </w:rPr>
        <w:object w:dxaOrig="1359" w:dyaOrig="720">
          <v:shape id="_x0000_i1034" type="#_x0000_t75" style="width:82.8pt;height:36pt" o:ole="" fillcolor="window">
            <v:imagedata r:id="rId23" o:title=""/>
          </v:shape>
          <o:OLEObject Type="Embed" ProgID="Equation.3" ShapeID="_x0000_i1034" DrawAspect="Content" ObjectID="_1499719111" r:id="rId24"/>
        </w:object>
      </w:r>
      <w:proofErr w:type="gramStart"/>
      <w:r>
        <w:t>correlation</w:t>
      </w:r>
      <w:proofErr w:type="gramEnd"/>
      <w:r>
        <w:t xml:space="preserve"> coefficient  (Note that b is the slope of the ordinary least squares regression line.)</w:t>
      </w:r>
    </w:p>
    <w:p w:rsidR="00085671" w:rsidRDefault="00085671">
      <w:pPr>
        <w:rPr>
          <w:i/>
        </w:rPr>
      </w:pPr>
      <w:r>
        <w:rPr>
          <w:i/>
          <w:position w:val="-10"/>
        </w:rPr>
        <w:object w:dxaOrig="540" w:dyaOrig="340">
          <v:shape id="_x0000_i1035" type="#_x0000_t75" style="width:39.6pt;height:17.4pt" o:ole="" fillcolor="window">
            <v:imagedata r:id="rId25" o:title=""/>
          </v:shape>
          <o:OLEObject Type="Embed" ProgID="Equation.3" ShapeID="_x0000_i1035" DrawAspect="Content" ObjectID="_1499719112" r:id="rId26"/>
        </w:object>
      </w:r>
      <w:proofErr w:type="gramStart"/>
      <w:r>
        <w:t>concurrent</w:t>
      </w:r>
      <w:proofErr w:type="gramEnd"/>
      <w:r>
        <w:t xml:space="preserve"> or overlapping period of record</w:t>
      </w:r>
      <w:r>
        <w:rPr>
          <w:i/>
        </w:rPr>
        <w:t xml:space="preserve"> </w:t>
      </w:r>
    </w:p>
    <w:p w:rsidR="00085671" w:rsidRDefault="00085671">
      <w:pPr>
        <w:rPr>
          <w:i/>
        </w:rPr>
      </w:pPr>
      <w:r>
        <w:rPr>
          <w:i/>
          <w:position w:val="-10"/>
        </w:rPr>
        <w:object w:dxaOrig="560" w:dyaOrig="340">
          <v:shape id="_x0000_i1036" type="#_x0000_t75" style="width:39.6pt;height:17.4pt" o:ole="" fillcolor="window">
            <v:imagedata r:id="rId27" o:title=""/>
          </v:shape>
          <o:OLEObject Type="Embed" ProgID="Equation.3" ShapeID="_x0000_i1036" DrawAspect="Content" ObjectID="_1499719113" r:id="rId28"/>
        </w:object>
      </w:r>
      <w:proofErr w:type="gramStart"/>
      <w:r>
        <w:t>additional</w:t>
      </w:r>
      <w:proofErr w:type="gramEnd"/>
      <w:r>
        <w:t xml:space="preserve"> years available at long-term site</w:t>
      </w:r>
    </w:p>
    <w:p w:rsidR="00085671" w:rsidRDefault="00085671">
      <w:pPr>
        <w:rPr>
          <w:i/>
        </w:rPr>
      </w:pPr>
      <w:r>
        <w:rPr>
          <w:i/>
          <w:position w:val="-10"/>
        </w:rPr>
        <w:object w:dxaOrig="560" w:dyaOrig="360">
          <v:shape id="_x0000_i1037" type="#_x0000_t75" style="width:36pt;height:18pt" o:ole="" fillcolor="window">
            <v:imagedata r:id="rId29" o:title=""/>
          </v:shape>
          <o:OLEObject Type="Embed" ProgID="Equation.3" ShapeID="_x0000_i1037" DrawAspect="Content" ObjectID="_1499719114" r:id="rId30"/>
        </w:object>
      </w:r>
      <w:proofErr w:type="gramStart"/>
      <w:r>
        <w:t>mean</w:t>
      </w:r>
      <w:proofErr w:type="gramEnd"/>
      <w:r>
        <w:t xml:space="preserve"> of independent time series for</w:t>
      </w:r>
      <w:r>
        <w:rPr>
          <w:i/>
        </w:rPr>
        <w:t xml:space="preserve"> </w:t>
      </w:r>
      <w:r>
        <w:rPr>
          <w:i/>
          <w:position w:val="-10"/>
        </w:rPr>
        <w:object w:dxaOrig="300" w:dyaOrig="340">
          <v:shape id="_x0000_i1038" type="#_x0000_t75" style="width:22.2pt;height:17.4pt" o:ole="" fillcolor="window">
            <v:imagedata r:id="rId31" o:title=""/>
          </v:shape>
          <o:OLEObject Type="Embed" ProgID="Equation.3" ShapeID="_x0000_i1038" DrawAspect="Content" ObjectID="_1499719115" r:id="rId32"/>
        </w:object>
      </w:r>
      <w:r>
        <w:t>years</w:t>
      </w:r>
    </w:p>
    <w:p w:rsidR="00085671" w:rsidRDefault="00085671">
      <w:pPr>
        <w:rPr>
          <w:i/>
        </w:rPr>
      </w:pPr>
      <w:r>
        <w:rPr>
          <w:i/>
          <w:position w:val="-10"/>
        </w:rPr>
        <w:object w:dxaOrig="560" w:dyaOrig="360">
          <v:shape id="_x0000_i1039" type="#_x0000_t75" style="width:36pt;height:18pt" o:ole="" fillcolor="window">
            <v:imagedata r:id="rId33" o:title=""/>
          </v:shape>
          <o:OLEObject Type="Embed" ProgID="Equation.3" ShapeID="_x0000_i1039" DrawAspect="Content" ObjectID="_1499719116" r:id="rId34"/>
        </w:object>
      </w:r>
      <w:proofErr w:type="gramStart"/>
      <w:r>
        <w:t>mean</w:t>
      </w:r>
      <w:proofErr w:type="gramEnd"/>
      <w:r>
        <w:t xml:space="preserve"> of independent time series for</w:t>
      </w:r>
      <w:r>
        <w:rPr>
          <w:i/>
        </w:rPr>
        <w:t xml:space="preserve"> </w:t>
      </w:r>
      <w:r>
        <w:rPr>
          <w:i/>
          <w:position w:val="-10"/>
        </w:rPr>
        <w:object w:dxaOrig="340" w:dyaOrig="340">
          <v:shape id="_x0000_i1040" type="#_x0000_t75" style="width:24pt;height:17.4pt" o:ole="" fillcolor="window">
            <v:imagedata r:id="rId35" o:title=""/>
          </v:shape>
          <o:OLEObject Type="Embed" ProgID="Equation.3" ShapeID="_x0000_i1040" DrawAspect="Content" ObjectID="_1499719117" r:id="rId36"/>
        </w:object>
      </w:r>
      <w:r>
        <w:t>years</w:t>
      </w:r>
    </w:p>
    <w:p w:rsidR="00085671" w:rsidRDefault="00085671">
      <w:pPr>
        <w:rPr>
          <w:i/>
        </w:rPr>
      </w:pPr>
      <w:r>
        <w:rPr>
          <w:i/>
          <w:position w:val="-14"/>
        </w:rPr>
        <w:object w:dxaOrig="580" w:dyaOrig="380">
          <v:shape id="_x0000_i1041" type="#_x0000_t75" style="width:34.8pt;height:18.6pt" o:ole="" fillcolor="window">
            <v:imagedata r:id="rId37" o:title=""/>
          </v:shape>
          <o:OLEObject Type="Embed" ProgID="Equation.3" ShapeID="_x0000_i1041" DrawAspect="Content" ObjectID="_1499719118" r:id="rId38"/>
        </w:object>
      </w:r>
      <w:proofErr w:type="gramStart"/>
      <w:r>
        <w:t>standard</w:t>
      </w:r>
      <w:proofErr w:type="gramEnd"/>
      <w:r>
        <w:t xml:space="preserve"> deviation of dependent time series for</w:t>
      </w:r>
      <w:r>
        <w:rPr>
          <w:i/>
        </w:rPr>
        <w:t xml:space="preserve"> </w:t>
      </w:r>
      <w:r>
        <w:rPr>
          <w:i/>
          <w:position w:val="-10"/>
        </w:rPr>
        <w:object w:dxaOrig="300" w:dyaOrig="340">
          <v:shape id="_x0000_i1042" type="#_x0000_t75" style="width:22.2pt;height:17.4pt" o:ole="" fillcolor="window">
            <v:imagedata r:id="rId31" o:title=""/>
          </v:shape>
          <o:OLEObject Type="Embed" ProgID="Equation.3" ShapeID="_x0000_i1042" DrawAspect="Content" ObjectID="_1499719119" r:id="rId39"/>
        </w:object>
      </w:r>
      <w:r>
        <w:rPr>
          <w:i/>
        </w:rPr>
        <w:t xml:space="preserve"> </w:t>
      </w:r>
      <w:r>
        <w:t>years</w:t>
      </w:r>
    </w:p>
    <w:p w:rsidR="00085671" w:rsidRDefault="00085671">
      <w:pPr>
        <w:rPr>
          <w:i/>
        </w:rPr>
      </w:pPr>
      <w:r>
        <w:rPr>
          <w:i/>
          <w:position w:val="-12"/>
        </w:rPr>
        <w:object w:dxaOrig="560" w:dyaOrig="360">
          <v:shape id="_x0000_i1043" type="#_x0000_t75" style="width:35.4pt;height:18pt" o:ole="" fillcolor="window">
            <v:imagedata r:id="rId40" o:title=""/>
          </v:shape>
          <o:OLEObject Type="Embed" ProgID="Equation.3" ShapeID="_x0000_i1043" DrawAspect="Content" ObjectID="_1499719120" r:id="rId41"/>
        </w:object>
      </w:r>
      <w:proofErr w:type="gramStart"/>
      <w:r>
        <w:t>standard</w:t>
      </w:r>
      <w:proofErr w:type="gramEnd"/>
      <w:r>
        <w:t xml:space="preserve"> deviation of independent time series for</w:t>
      </w:r>
      <w:r>
        <w:rPr>
          <w:i/>
        </w:rPr>
        <w:t xml:space="preserve"> </w:t>
      </w:r>
      <w:r>
        <w:rPr>
          <w:i/>
          <w:position w:val="-10"/>
        </w:rPr>
        <w:object w:dxaOrig="300" w:dyaOrig="340">
          <v:shape id="_x0000_i1044" type="#_x0000_t75" style="width:22.2pt;height:17.4pt" o:ole="" fillcolor="window">
            <v:imagedata r:id="rId31" o:title=""/>
          </v:shape>
          <o:OLEObject Type="Embed" ProgID="Equation.3" ShapeID="_x0000_i1044" DrawAspect="Content" ObjectID="_1499719121" r:id="rId42"/>
        </w:object>
      </w:r>
      <w:r>
        <w:rPr>
          <w:i/>
        </w:rPr>
        <w:t xml:space="preserve"> </w:t>
      </w:r>
      <w:r>
        <w:t>years</w:t>
      </w:r>
    </w:p>
    <w:p w:rsidR="00085671" w:rsidRDefault="00085671"/>
    <w:p w:rsidR="00085671" w:rsidRDefault="00085671">
      <w:r>
        <w:br w:type="page"/>
      </w:r>
      <w:r>
        <w:lastRenderedPageBreak/>
        <w:t>The following dialog is used to edit the command and illustrates the command syntax.</w:t>
      </w:r>
    </w:p>
    <w:p w:rsidR="00085671" w:rsidRDefault="00085671"/>
    <w:p w:rsidR="00085671" w:rsidRDefault="00C93DFF">
      <w:pPr>
        <w:numPr>
          <w:ilvl w:val="12"/>
          <w:numId w:val="0"/>
        </w:numPr>
        <w:jc w:val="center"/>
      </w:pPr>
      <w:r>
        <w:rPr>
          <w:noProof/>
        </w:rPr>
        <w:drawing>
          <wp:inline distT="0" distB="0" distL="0" distR="0">
            <wp:extent cx="5905500" cy="4465320"/>
            <wp:effectExtent l="0" t="0" r="0" b="0"/>
            <wp:docPr id="21" name="Picture 21" descr="command_fillMOV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mand_fillMOVE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05500" cy="4465320"/>
                    </a:xfrm>
                    <a:prstGeom prst="rect">
                      <a:avLst/>
                    </a:prstGeom>
                    <a:noFill/>
                    <a:ln>
                      <a:noFill/>
                    </a:ln>
                  </pic:spPr>
                </pic:pic>
              </a:graphicData>
            </a:graphic>
          </wp:inline>
        </w:drawing>
      </w:r>
    </w:p>
    <w:p w:rsidR="00085671" w:rsidRDefault="001750DB">
      <w:pPr>
        <w:pStyle w:val="RTiSWDocNote"/>
      </w:pPr>
      <w:r>
        <w:t>Fi</w:t>
      </w:r>
      <w:r w:rsidR="00085671">
        <w:t>llMOVE2</w:t>
      </w:r>
    </w:p>
    <w:p w:rsidR="00085671" w:rsidRDefault="001750DB">
      <w:pPr>
        <w:pStyle w:val="RTiSWDocFigureTableTitle"/>
      </w:pPr>
      <w:proofErr w:type="gramStart"/>
      <w:r>
        <w:t>F</w:t>
      </w:r>
      <w:r w:rsidR="00085671">
        <w:t>illMOVE2(</w:t>
      </w:r>
      <w:proofErr w:type="gramEnd"/>
      <w:r w:rsidR="00085671">
        <w:t>) Command Editor</w:t>
      </w:r>
    </w:p>
    <w:p w:rsidR="00085671" w:rsidRDefault="00085671">
      <w:pPr>
        <w:numPr>
          <w:ilvl w:val="12"/>
          <w:numId w:val="0"/>
        </w:numPr>
      </w:pPr>
    </w:p>
    <w:p w:rsidR="00085671" w:rsidRDefault="00085671">
      <w:r>
        <w:br w:type="page"/>
      </w:r>
      <w:r>
        <w:lastRenderedPageBreak/>
        <w:t>The command syntax is as follows:</w:t>
      </w:r>
    </w:p>
    <w:p w:rsidR="00085671" w:rsidRDefault="00085671">
      <w:pPr>
        <w:rPr>
          <w:rStyle w:val="RTiSWDocLiteralText"/>
        </w:rPr>
      </w:pPr>
    </w:p>
    <w:p w:rsidR="00085671" w:rsidRDefault="001750DB">
      <w:pPr>
        <w:ind w:left="720"/>
      </w:pPr>
      <w:proofErr w:type="gramStart"/>
      <w:r>
        <w:rPr>
          <w:rStyle w:val="RTiSWDocLiteralText"/>
        </w:rPr>
        <w:t>F</w:t>
      </w:r>
      <w:r w:rsidR="00085671">
        <w:rPr>
          <w:rStyle w:val="RTiSWDocLiteralText"/>
        </w:rPr>
        <w:t>illMOVE2(</w:t>
      </w:r>
      <w:proofErr w:type="gramEnd"/>
      <w:r>
        <w:rPr>
          <w:rStyle w:val="RTiSWDocLiteralText"/>
        </w:rPr>
        <w:t>P</w:t>
      </w:r>
      <w:r w:rsidR="00085671">
        <w:rPr>
          <w:rStyle w:val="RTiSWDocLiteralText"/>
        </w:rPr>
        <w:t>aram</w:t>
      </w:r>
      <w:r>
        <w:rPr>
          <w:rStyle w:val="RTiSWDocLiteralText"/>
        </w:rPr>
        <w:t>eter</w:t>
      </w:r>
      <w:r w:rsidR="00085671">
        <w:rPr>
          <w:rStyle w:val="RTiSWDocLiteralText"/>
        </w:rPr>
        <w:t>=</w:t>
      </w:r>
      <w:r>
        <w:rPr>
          <w:rStyle w:val="RTiSWDocLiteralText"/>
        </w:rPr>
        <w:t>V</w:t>
      </w:r>
      <w:r w:rsidR="00085671">
        <w:rPr>
          <w:rStyle w:val="RTiSWDocLiteralText"/>
        </w:rPr>
        <w:t>alue,…)</w:t>
      </w:r>
    </w:p>
    <w:p w:rsidR="00085671" w:rsidRDefault="00085671"/>
    <w:p w:rsidR="00085671" w:rsidRDefault="00085671">
      <w:pPr>
        <w:pStyle w:val="RTiSWDocFigureTableTitle"/>
      </w:pPr>
      <w:r>
        <w:t>Command Parameters</w:t>
      </w:r>
    </w:p>
    <w:p w:rsidR="00085671" w:rsidRDefault="0008567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3882"/>
        <w:gridCol w:w="3192"/>
      </w:tblGrid>
      <w:tr w:rsidR="00085671">
        <w:trPr>
          <w:jc w:val="center"/>
        </w:trPr>
        <w:tc>
          <w:tcPr>
            <w:tcW w:w="2197" w:type="dxa"/>
            <w:shd w:val="clear" w:color="auto" w:fill="C0C0C0"/>
          </w:tcPr>
          <w:p w:rsidR="00085671" w:rsidRDefault="00085671">
            <w:pPr>
              <w:pStyle w:val="RTiSWDocTableHeading"/>
            </w:pPr>
            <w:r>
              <w:t>Parameter</w:t>
            </w:r>
          </w:p>
        </w:tc>
        <w:tc>
          <w:tcPr>
            <w:tcW w:w="3882" w:type="dxa"/>
            <w:shd w:val="clear" w:color="auto" w:fill="C0C0C0"/>
          </w:tcPr>
          <w:p w:rsidR="00085671" w:rsidRDefault="00085671">
            <w:pPr>
              <w:pStyle w:val="RTiSWDocTableHeading"/>
            </w:pPr>
            <w:r>
              <w:t>Description</w:t>
            </w:r>
          </w:p>
        </w:tc>
        <w:tc>
          <w:tcPr>
            <w:tcW w:w="3192" w:type="dxa"/>
            <w:shd w:val="clear" w:color="auto" w:fill="C0C0C0"/>
          </w:tcPr>
          <w:p w:rsidR="00085671" w:rsidRDefault="00085671">
            <w:pPr>
              <w:pStyle w:val="RTiSWDocTableHeading"/>
            </w:pPr>
            <w:r>
              <w:t>Default</w:t>
            </w:r>
          </w:p>
        </w:tc>
      </w:tr>
      <w:tr w:rsidR="00085671">
        <w:trPr>
          <w:jc w:val="center"/>
        </w:trPr>
        <w:tc>
          <w:tcPr>
            <w:tcW w:w="2197" w:type="dxa"/>
          </w:tcPr>
          <w:p w:rsidR="00085671" w:rsidRDefault="00085671">
            <w:pPr>
              <w:rPr>
                <w:rStyle w:val="RTiSWDocLiteralText"/>
              </w:rPr>
            </w:pPr>
            <w:r>
              <w:rPr>
                <w:rStyle w:val="RTiSWDocLiteralText"/>
              </w:rPr>
              <w:t>TSID</w:t>
            </w:r>
          </w:p>
        </w:tc>
        <w:tc>
          <w:tcPr>
            <w:tcW w:w="3882" w:type="dxa"/>
          </w:tcPr>
          <w:p w:rsidR="00085671" w:rsidRDefault="00085671">
            <w:r>
              <w:t>The time series identifier or alias for the time series to be filled (dependent time series).</w:t>
            </w:r>
          </w:p>
        </w:tc>
        <w:tc>
          <w:tcPr>
            <w:tcW w:w="3192" w:type="dxa"/>
          </w:tcPr>
          <w:p w:rsidR="00085671" w:rsidRDefault="00085671">
            <w:r>
              <w:t>None – must be specified.</w:t>
            </w:r>
          </w:p>
        </w:tc>
      </w:tr>
      <w:tr w:rsidR="00085671">
        <w:trPr>
          <w:jc w:val="center"/>
        </w:trPr>
        <w:tc>
          <w:tcPr>
            <w:tcW w:w="2197" w:type="dxa"/>
          </w:tcPr>
          <w:p w:rsidR="00085671" w:rsidRDefault="00085671">
            <w:pPr>
              <w:rPr>
                <w:rStyle w:val="RTiSWDocLiteralText"/>
              </w:rPr>
            </w:pPr>
            <w:proofErr w:type="spellStart"/>
            <w:r>
              <w:rPr>
                <w:rStyle w:val="RTiSWDocLiteralText"/>
              </w:rPr>
              <w:t>IndependentTSID</w:t>
            </w:r>
            <w:proofErr w:type="spellEnd"/>
          </w:p>
        </w:tc>
        <w:tc>
          <w:tcPr>
            <w:tcW w:w="3882" w:type="dxa"/>
          </w:tcPr>
          <w:p w:rsidR="00085671" w:rsidRDefault="00085671">
            <w:r>
              <w:t>The time series identifier or alias for the independent time series, to supply data.</w:t>
            </w:r>
          </w:p>
        </w:tc>
        <w:tc>
          <w:tcPr>
            <w:tcW w:w="3192" w:type="dxa"/>
          </w:tcPr>
          <w:p w:rsidR="00085671" w:rsidRDefault="00085671">
            <w:r>
              <w:t>None – must be specified.</w:t>
            </w:r>
          </w:p>
        </w:tc>
      </w:tr>
      <w:tr w:rsidR="00085671">
        <w:trPr>
          <w:jc w:val="center"/>
        </w:trPr>
        <w:tc>
          <w:tcPr>
            <w:tcW w:w="2197" w:type="dxa"/>
          </w:tcPr>
          <w:p w:rsidR="00B05BC7" w:rsidRDefault="00085671">
            <w:pPr>
              <w:rPr>
                <w:rStyle w:val="RTiSWDocLiteralText"/>
              </w:rPr>
            </w:pPr>
            <w:proofErr w:type="spellStart"/>
            <w:r>
              <w:rPr>
                <w:rStyle w:val="RTiSWDocLiteralText"/>
              </w:rPr>
              <w:t>Num</w:t>
            </w:r>
            <w:r w:rsidR="00B05BC7">
              <w:rPr>
                <w:rStyle w:val="RTiSWDocLiteralText"/>
              </w:rPr>
              <w:t>berOf</w:t>
            </w:r>
            <w:proofErr w:type="spellEnd"/>
          </w:p>
          <w:p w:rsidR="00085671" w:rsidRDefault="00085671">
            <w:pPr>
              <w:rPr>
                <w:rStyle w:val="RTiSWDocLiteralText"/>
              </w:rPr>
            </w:pPr>
            <w:r>
              <w:rPr>
                <w:rStyle w:val="RTiSWDocLiteralText"/>
              </w:rPr>
              <w:t>Equations</w:t>
            </w:r>
          </w:p>
        </w:tc>
        <w:tc>
          <w:tcPr>
            <w:tcW w:w="3882" w:type="dxa"/>
          </w:tcPr>
          <w:p w:rsidR="00085671" w:rsidRDefault="00085671">
            <w:proofErr w:type="spellStart"/>
            <w:r>
              <w:rPr>
                <w:rStyle w:val="RTiSWDocLiteralText"/>
              </w:rPr>
              <w:t>OneEquation</w:t>
            </w:r>
            <w:proofErr w:type="spellEnd"/>
            <w:r>
              <w:rPr>
                <w:rFonts w:ascii="Times" w:hAnsi="Times"/>
              </w:rPr>
              <w:t xml:space="preserve"> </w:t>
            </w:r>
            <w:r>
              <w:t xml:space="preserve">or </w:t>
            </w:r>
            <w:proofErr w:type="spellStart"/>
            <w:r>
              <w:rPr>
                <w:rStyle w:val="RTiSWDocLiteralText"/>
              </w:rPr>
              <w:t>MonthlyEquations</w:t>
            </w:r>
            <w:proofErr w:type="spellEnd"/>
            <w:r>
              <w:t>, indicating how many relationships are to be determined.</w:t>
            </w:r>
          </w:p>
        </w:tc>
        <w:tc>
          <w:tcPr>
            <w:tcW w:w="3192" w:type="dxa"/>
          </w:tcPr>
          <w:p w:rsidR="00085671" w:rsidRDefault="00085671">
            <w:pPr>
              <w:rPr>
                <w:rStyle w:val="RTiSWDocLiteralText"/>
              </w:rPr>
            </w:pPr>
            <w:proofErr w:type="spellStart"/>
            <w:r>
              <w:rPr>
                <w:rStyle w:val="RTiSWDocLiteralText"/>
              </w:rPr>
              <w:t>OneEquation</w:t>
            </w:r>
            <w:proofErr w:type="spellEnd"/>
          </w:p>
        </w:tc>
      </w:tr>
      <w:tr w:rsidR="00085671">
        <w:trPr>
          <w:jc w:val="center"/>
        </w:trPr>
        <w:tc>
          <w:tcPr>
            <w:tcW w:w="2197" w:type="dxa"/>
          </w:tcPr>
          <w:p w:rsidR="00085671" w:rsidRDefault="00085671">
            <w:pPr>
              <w:rPr>
                <w:rStyle w:val="RTiSWDocLiteralText"/>
              </w:rPr>
            </w:pPr>
            <w:r>
              <w:rPr>
                <w:rStyle w:val="RTiSWDocLiteralText"/>
              </w:rPr>
              <w:t>Transformation</w:t>
            </w:r>
          </w:p>
        </w:tc>
        <w:tc>
          <w:tcPr>
            <w:tcW w:w="3882" w:type="dxa"/>
          </w:tcPr>
          <w:p w:rsidR="00085671" w:rsidRDefault="00085671">
            <w:r>
              <w:rPr>
                <w:rStyle w:val="RTiSWDocLiteralText"/>
              </w:rPr>
              <w:t>Log</w:t>
            </w:r>
            <w:r>
              <w:t xml:space="preserve"> or </w:t>
            </w:r>
            <w:r>
              <w:rPr>
                <w:rStyle w:val="RTiSWDocLiteralText"/>
              </w:rPr>
              <w:t>None</w:t>
            </w:r>
            <w:r>
              <w:t xml:space="preserve">, indicating the type of data transformation.  If the Log option is used, zero and negative values are set to </w:t>
            </w:r>
            <w:r>
              <w:rPr>
                <w:rStyle w:val="RTiSWDocLiteralText"/>
              </w:rPr>
              <w:t>.001</w:t>
            </w:r>
            <w:r>
              <w:rPr>
                <w:rStyle w:val="RTiSWDocLiteralText"/>
                <w:rFonts w:ascii="Times New Roman" w:hAnsi="Times New Roman"/>
              </w:rPr>
              <w:t xml:space="preserve"> (</w:t>
            </w:r>
            <w:r>
              <w:rPr>
                <w:rStyle w:val="RTiSWDocLiteralText"/>
              </w:rPr>
              <w:t>-999</w:t>
            </w:r>
            <w:r>
              <w:t xml:space="preserve"> values are treated as missing data and are ignored), and the data values are transformed using log10.</w:t>
            </w:r>
          </w:p>
        </w:tc>
        <w:tc>
          <w:tcPr>
            <w:tcW w:w="3192" w:type="dxa"/>
          </w:tcPr>
          <w:p w:rsidR="00085671" w:rsidRDefault="00085671">
            <w:r>
              <w:t>None</w:t>
            </w:r>
          </w:p>
        </w:tc>
      </w:tr>
      <w:tr w:rsidR="00085671">
        <w:trPr>
          <w:jc w:val="center"/>
        </w:trPr>
        <w:tc>
          <w:tcPr>
            <w:tcW w:w="2197" w:type="dxa"/>
          </w:tcPr>
          <w:p w:rsidR="00085671" w:rsidRDefault="00085671">
            <w:pPr>
              <w:rPr>
                <w:rStyle w:val="RTiSWDocLiteralText"/>
              </w:rPr>
            </w:pPr>
            <w:r>
              <w:rPr>
                <w:rStyle w:val="RTiSWDocLiteralText"/>
              </w:rPr>
              <w:t>Dependent</w:t>
            </w:r>
          </w:p>
          <w:p w:rsidR="00085671" w:rsidRDefault="00085671">
            <w:pPr>
              <w:rPr>
                <w:rStyle w:val="RTiSWDocLiteralText"/>
              </w:rPr>
            </w:pPr>
            <w:r>
              <w:rPr>
                <w:rStyle w:val="RTiSWDocLiteralText"/>
              </w:rPr>
              <w:t>Analysis</w:t>
            </w:r>
          </w:p>
          <w:p w:rsidR="00085671" w:rsidRDefault="00085671">
            <w:pPr>
              <w:rPr>
                <w:rStyle w:val="RTiSWDocLiteralText"/>
              </w:rPr>
            </w:pPr>
            <w:r>
              <w:rPr>
                <w:rStyle w:val="RTiSWDocLiteralText"/>
              </w:rPr>
              <w:t>Start/End</w:t>
            </w:r>
          </w:p>
        </w:tc>
        <w:tc>
          <w:tcPr>
            <w:tcW w:w="3882" w:type="dxa"/>
          </w:tcPr>
          <w:p w:rsidR="00085671" w:rsidRDefault="00085671">
            <w:r>
              <w:t>The period for N</w:t>
            </w:r>
            <w:r>
              <w:rPr>
                <w:vertAlign w:val="subscript"/>
              </w:rPr>
              <w:t>1</w:t>
            </w:r>
            <w:r>
              <w:t xml:space="preserve"> (overlapping data) that is used to analyze the dependent time series.  For example, this may be the unregulated period for streamflow data.  Typically, this is longer than the independent analysis period.</w:t>
            </w:r>
          </w:p>
        </w:tc>
        <w:tc>
          <w:tcPr>
            <w:tcW w:w="3192" w:type="dxa"/>
          </w:tcPr>
          <w:p w:rsidR="00085671" w:rsidRDefault="00085671">
            <w:r>
              <w:t>Analyze the full period.</w:t>
            </w:r>
          </w:p>
        </w:tc>
      </w:tr>
      <w:tr w:rsidR="00085671">
        <w:trPr>
          <w:jc w:val="center"/>
        </w:trPr>
        <w:tc>
          <w:tcPr>
            <w:tcW w:w="2197" w:type="dxa"/>
          </w:tcPr>
          <w:p w:rsidR="00085671" w:rsidRDefault="00085671">
            <w:pPr>
              <w:rPr>
                <w:rStyle w:val="RTiSWDocLiteralText"/>
              </w:rPr>
            </w:pPr>
            <w:r>
              <w:rPr>
                <w:rStyle w:val="RTiSWDocLiteralText"/>
              </w:rPr>
              <w:t>Independent</w:t>
            </w:r>
          </w:p>
          <w:p w:rsidR="00085671" w:rsidRDefault="00085671">
            <w:pPr>
              <w:rPr>
                <w:rStyle w:val="RTiSWDocLiteralText"/>
              </w:rPr>
            </w:pPr>
            <w:r>
              <w:rPr>
                <w:rStyle w:val="RTiSWDocLiteralText"/>
              </w:rPr>
              <w:t>Analysis</w:t>
            </w:r>
          </w:p>
          <w:p w:rsidR="00085671" w:rsidRDefault="00085671">
            <w:pPr>
              <w:rPr>
                <w:rStyle w:val="RTiSWDocLiteralText"/>
              </w:rPr>
            </w:pPr>
            <w:r>
              <w:rPr>
                <w:rStyle w:val="RTiSWDocLiteralText"/>
              </w:rPr>
              <w:t>Start/End</w:t>
            </w:r>
          </w:p>
        </w:tc>
        <w:tc>
          <w:tcPr>
            <w:tcW w:w="3882" w:type="dxa"/>
          </w:tcPr>
          <w:p w:rsidR="00085671" w:rsidRDefault="00085671">
            <w:r>
              <w:t>The period for N</w:t>
            </w:r>
            <w:r>
              <w:rPr>
                <w:vertAlign w:val="subscript"/>
              </w:rPr>
              <w:t>2</w:t>
            </w:r>
            <w:r>
              <w:t xml:space="preserve"> (non-overlapping data) that is used to analyze the independent time series.  For example, this may be the unregulated period for streamflow data.</w:t>
            </w:r>
          </w:p>
        </w:tc>
        <w:tc>
          <w:tcPr>
            <w:tcW w:w="3192" w:type="dxa"/>
          </w:tcPr>
          <w:p w:rsidR="00085671" w:rsidRDefault="00085671">
            <w:r>
              <w:t>Analyze the full period.</w:t>
            </w:r>
          </w:p>
        </w:tc>
      </w:tr>
      <w:tr w:rsidR="00085671">
        <w:trPr>
          <w:jc w:val="center"/>
        </w:trPr>
        <w:tc>
          <w:tcPr>
            <w:tcW w:w="2197" w:type="dxa"/>
          </w:tcPr>
          <w:p w:rsidR="00085671" w:rsidRDefault="00085671">
            <w:pPr>
              <w:rPr>
                <w:rStyle w:val="RTiSWDocLiteralText"/>
              </w:rPr>
            </w:pPr>
            <w:proofErr w:type="spellStart"/>
            <w:r>
              <w:rPr>
                <w:rStyle w:val="RTiSWDocLiteralText"/>
              </w:rPr>
              <w:t>FillStart</w:t>
            </w:r>
            <w:proofErr w:type="spellEnd"/>
          </w:p>
        </w:tc>
        <w:tc>
          <w:tcPr>
            <w:tcW w:w="3882" w:type="dxa"/>
          </w:tcPr>
          <w:p w:rsidR="00085671" w:rsidRDefault="00085671">
            <w:r>
              <w:t>The date/time to start filling.</w:t>
            </w:r>
          </w:p>
        </w:tc>
        <w:tc>
          <w:tcPr>
            <w:tcW w:w="3192" w:type="dxa"/>
          </w:tcPr>
          <w:p w:rsidR="00085671" w:rsidRDefault="00085671">
            <w:r>
              <w:t>Fill the full period.</w:t>
            </w:r>
          </w:p>
        </w:tc>
      </w:tr>
      <w:tr w:rsidR="00085671">
        <w:trPr>
          <w:jc w:val="center"/>
        </w:trPr>
        <w:tc>
          <w:tcPr>
            <w:tcW w:w="2197" w:type="dxa"/>
          </w:tcPr>
          <w:p w:rsidR="00085671" w:rsidRDefault="00085671">
            <w:pPr>
              <w:rPr>
                <w:rStyle w:val="RTiSWDocLiteralText"/>
              </w:rPr>
            </w:pPr>
            <w:proofErr w:type="spellStart"/>
            <w:r>
              <w:rPr>
                <w:rStyle w:val="RTiSWDocLiteralText"/>
              </w:rPr>
              <w:t>FillEnd</w:t>
            </w:r>
            <w:proofErr w:type="spellEnd"/>
          </w:p>
        </w:tc>
        <w:tc>
          <w:tcPr>
            <w:tcW w:w="3882" w:type="dxa"/>
          </w:tcPr>
          <w:p w:rsidR="00085671" w:rsidRDefault="00085671">
            <w:r>
              <w:t>The date/time to end filling.</w:t>
            </w:r>
          </w:p>
        </w:tc>
        <w:tc>
          <w:tcPr>
            <w:tcW w:w="3192" w:type="dxa"/>
          </w:tcPr>
          <w:p w:rsidR="00085671" w:rsidRDefault="00085671">
            <w:r>
              <w:t>Fill the full period.</w:t>
            </w:r>
          </w:p>
        </w:tc>
      </w:tr>
      <w:tr w:rsidR="00085671">
        <w:trPr>
          <w:jc w:val="center"/>
        </w:trPr>
        <w:tc>
          <w:tcPr>
            <w:tcW w:w="2197" w:type="dxa"/>
          </w:tcPr>
          <w:p w:rsidR="00085671" w:rsidRDefault="00085671">
            <w:pPr>
              <w:rPr>
                <w:rStyle w:val="RTiSWDocLiteralText"/>
              </w:rPr>
            </w:pPr>
            <w:proofErr w:type="spellStart"/>
            <w:r>
              <w:rPr>
                <w:rStyle w:val="RTiSWDocLiteralText"/>
              </w:rPr>
              <w:t>FillFlag</w:t>
            </w:r>
            <w:proofErr w:type="spellEnd"/>
          </w:p>
        </w:tc>
        <w:tc>
          <w:tcPr>
            <w:tcW w:w="3882" w:type="dxa"/>
          </w:tcPr>
          <w:p w:rsidR="00085671" w:rsidRDefault="00085671">
            <w:r>
              <w:t>A single character to be used to flag filled points on graphs and other output.</w:t>
            </w:r>
          </w:p>
        </w:tc>
        <w:tc>
          <w:tcPr>
            <w:tcW w:w="3192" w:type="dxa"/>
          </w:tcPr>
          <w:p w:rsidR="00085671" w:rsidRDefault="00085671">
            <w:r>
              <w:t>Do not flag filled data.</w:t>
            </w:r>
          </w:p>
        </w:tc>
      </w:tr>
    </w:tbl>
    <w:p w:rsidR="00085671" w:rsidRDefault="00085671">
      <w:pPr>
        <w:rPr>
          <w:color w:val="C0C0C0"/>
        </w:rPr>
      </w:pPr>
    </w:p>
    <w:p w:rsidR="00085671" w:rsidRDefault="001750DB">
      <w:pPr>
        <w:rPr>
          <w:color w:val="000000"/>
        </w:rPr>
      </w:pPr>
      <w:r>
        <w:rPr>
          <w:color w:val="000000"/>
        </w:rPr>
        <w:br w:type="page"/>
      </w:r>
      <w:r w:rsidR="00085671">
        <w:rPr>
          <w:color w:val="000000"/>
        </w:rPr>
        <w:lastRenderedPageBreak/>
        <w:t xml:space="preserve">A sample command file </w:t>
      </w:r>
      <w:r>
        <w:rPr>
          <w:color w:val="000000"/>
        </w:rPr>
        <w:t xml:space="preserve">illustrating how to fill time series from the State of Colorado’s </w:t>
      </w:r>
      <w:proofErr w:type="spellStart"/>
      <w:r>
        <w:rPr>
          <w:color w:val="000000"/>
        </w:rPr>
        <w:t>HydroBase</w:t>
      </w:r>
      <w:proofErr w:type="spellEnd"/>
      <w:r>
        <w:rPr>
          <w:color w:val="000000"/>
        </w:rPr>
        <w:t xml:space="preserve"> </w:t>
      </w:r>
      <w:r w:rsidR="00085671">
        <w:rPr>
          <w:color w:val="000000"/>
        </w:rPr>
        <w:t>is as follows</w:t>
      </w:r>
      <w:r>
        <w:rPr>
          <w:color w:val="000000"/>
        </w:rPr>
        <w:t xml:space="preserve"> (MOVE2 and ordinary least squares regression are used to allow comparing the results)</w:t>
      </w:r>
      <w:r w:rsidR="00085671">
        <w:rPr>
          <w:color w:val="000000"/>
        </w:rPr>
        <w:t>:</w:t>
      </w:r>
    </w:p>
    <w:p w:rsidR="00085671" w:rsidRDefault="00085671">
      <w:pPr>
        <w:rPr>
          <w:color w:val="000000"/>
        </w:rPr>
      </w:pP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085671" w:rsidTr="001750DB">
        <w:trPr>
          <w:jc w:val="center"/>
        </w:trPr>
        <w:tc>
          <w:tcPr>
            <w:tcW w:w="9445" w:type="dxa"/>
          </w:tcPr>
          <w:p w:rsidR="001750DB" w:rsidRDefault="001750DB" w:rsidP="00085671">
            <w:pPr>
              <w:pStyle w:val="PlainText"/>
            </w:pPr>
            <w:proofErr w:type="spellStart"/>
            <w:r w:rsidRPr="006B435C">
              <w:t>StartLog</w:t>
            </w:r>
            <w:proofErr w:type="spellEnd"/>
            <w:r w:rsidRPr="006B435C">
              <w:t>(</w:t>
            </w:r>
            <w:proofErr w:type="spellStart"/>
            <w:r w:rsidRPr="006B435C">
              <w:t>LogFile</w:t>
            </w:r>
            <w:proofErr w:type="spellEnd"/>
            <w:r w:rsidRPr="006B435C">
              <w:t>="</w:t>
            </w:r>
            <w:r>
              <w:t>Results/</w:t>
            </w:r>
            <w:proofErr w:type="spellStart"/>
            <w:r w:rsidRPr="006B435C">
              <w:t>commands.TSTool.log",Suffix</w:t>
            </w:r>
            <w:proofErr w:type="spellEnd"/>
            <w:r w:rsidRPr="006B435C">
              <w:t>="Date")</w:t>
            </w:r>
          </w:p>
          <w:p w:rsidR="001750DB" w:rsidRDefault="001750DB" w:rsidP="00085671">
            <w:pPr>
              <w:pStyle w:val="PlainText"/>
            </w:pPr>
            <w:proofErr w:type="spellStart"/>
            <w:r w:rsidRPr="006B435C">
              <w:t>SetOutputPeriod</w:t>
            </w:r>
            <w:proofErr w:type="spellEnd"/>
            <w:r w:rsidRPr="006B435C">
              <w:t>(</w:t>
            </w:r>
            <w:proofErr w:type="spellStart"/>
            <w:r w:rsidRPr="006B435C">
              <w:t>OutputStart</w:t>
            </w:r>
            <w:proofErr w:type="spellEnd"/>
            <w:r w:rsidRPr="006B435C">
              <w:t>="1901-01",OutputEnd="2004-12")</w:t>
            </w:r>
          </w:p>
          <w:p w:rsidR="001750DB" w:rsidRPr="006B435C" w:rsidRDefault="001750DB" w:rsidP="00085671">
            <w:pPr>
              <w:pStyle w:val="PlainText"/>
            </w:pPr>
            <w:r w:rsidRPr="006B435C">
              <w:t># 06758500 - SOUTH PLATTE RIVER NEAR WELDONA</w:t>
            </w:r>
          </w:p>
          <w:p w:rsidR="001750DB" w:rsidRPr="006B435C" w:rsidRDefault="001750DB" w:rsidP="00085671">
            <w:pPr>
              <w:pStyle w:val="PlainText"/>
            </w:pPr>
            <w:r w:rsidRPr="006B435C">
              <w:t>06758500.DWR.Streamflow.Month~HydroBase</w:t>
            </w:r>
          </w:p>
          <w:p w:rsidR="001750DB" w:rsidRPr="006B435C" w:rsidRDefault="001750DB" w:rsidP="00085671">
            <w:pPr>
              <w:pStyle w:val="PlainText"/>
            </w:pPr>
            <w:r w:rsidRPr="006B435C">
              <w:t># 06754000 - SOUTH PLATTE RIVER NEAR KERSEY</w:t>
            </w:r>
          </w:p>
          <w:p w:rsidR="001750DB" w:rsidRPr="006B435C" w:rsidRDefault="001750DB" w:rsidP="00085671">
            <w:pPr>
              <w:pStyle w:val="PlainText"/>
            </w:pPr>
            <w:r w:rsidRPr="006B435C">
              <w:t>06754000.DWR.Streamflow.Month~HydroBase</w:t>
            </w:r>
          </w:p>
          <w:p w:rsidR="001750DB" w:rsidRDefault="001750DB" w:rsidP="00085671">
            <w:pPr>
              <w:pStyle w:val="PlainText"/>
            </w:pPr>
            <w:r w:rsidRPr="006B435C">
              <w:t>FillMOVE2(TSID="06758500.DWR.Streamflow.Month",</w:t>
            </w:r>
          </w:p>
          <w:p w:rsidR="001750DB" w:rsidRDefault="001750DB" w:rsidP="00085671">
            <w:pPr>
              <w:pStyle w:val="PlainText"/>
            </w:pPr>
            <w:r>
              <w:t xml:space="preserve">  </w:t>
            </w:r>
            <w:proofErr w:type="spellStart"/>
            <w:r w:rsidRPr="006B435C">
              <w:t>IndependentTSID</w:t>
            </w:r>
            <w:proofErr w:type="spellEnd"/>
            <w:r w:rsidRPr="006B435C">
              <w:t>="06754000.DWR.Streamflow.Month",</w:t>
            </w:r>
          </w:p>
          <w:p w:rsidR="001750DB" w:rsidRDefault="001750DB" w:rsidP="00085671">
            <w:pPr>
              <w:pStyle w:val="PlainText"/>
            </w:pPr>
            <w:r>
              <w:t xml:space="preserve">  </w:t>
            </w:r>
            <w:r w:rsidRPr="006B435C">
              <w:t>NumberOfEquations=MonthlyEquations,DependentAnalysisStart="1952-10",</w:t>
            </w:r>
          </w:p>
          <w:p w:rsidR="001750DB" w:rsidRDefault="001750DB" w:rsidP="00085671">
            <w:pPr>
              <w:pStyle w:val="PlainText"/>
            </w:pPr>
            <w:r>
              <w:t xml:space="preserve">  </w:t>
            </w:r>
            <w:r w:rsidRPr="006B435C">
              <w:t>DependentAnalysisEnd="2004-09",IndependentAnalysisStart="1901-01",</w:t>
            </w:r>
          </w:p>
          <w:p w:rsidR="001750DB" w:rsidRDefault="001750DB" w:rsidP="00085671">
            <w:pPr>
              <w:pStyle w:val="PlainText"/>
            </w:pPr>
            <w:r>
              <w:t xml:space="preserve">  </w:t>
            </w:r>
            <w:proofErr w:type="spellStart"/>
            <w:r w:rsidRPr="006B435C">
              <w:t>IndependentAnalysisEnd</w:t>
            </w:r>
            <w:proofErr w:type="spellEnd"/>
            <w:r w:rsidRPr="006B435C">
              <w:t>="1950-12",FillStart="1930-01",</w:t>
            </w:r>
          </w:p>
          <w:p w:rsidR="001750DB" w:rsidRDefault="001750DB" w:rsidP="00085671">
            <w:pPr>
              <w:pStyle w:val="PlainText"/>
            </w:pPr>
            <w:r>
              <w:t xml:space="preserve">  </w:t>
            </w:r>
            <w:proofErr w:type="spellStart"/>
            <w:r w:rsidRPr="006B435C">
              <w:t>FillEnd</w:t>
            </w:r>
            <w:proofErr w:type="spellEnd"/>
            <w:r w:rsidRPr="006B435C">
              <w:t>="1940-12",FillFlag="m")</w:t>
            </w:r>
          </w:p>
          <w:p w:rsidR="001750DB" w:rsidRPr="006B435C" w:rsidRDefault="001750DB" w:rsidP="00085671">
            <w:pPr>
              <w:pStyle w:val="PlainText"/>
            </w:pPr>
            <w:r w:rsidRPr="006B435C">
              <w:t># 06758500 - SOUTH PLATTE RIVER NEAR WELDONA</w:t>
            </w:r>
          </w:p>
          <w:p w:rsidR="001750DB" w:rsidRPr="006B435C" w:rsidRDefault="001750DB" w:rsidP="00085671">
            <w:pPr>
              <w:pStyle w:val="PlainText"/>
            </w:pPr>
            <w:r w:rsidRPr="006B435C">
              <w:t>06758500.DWR.Streamflow.Month~HydroBase</w:t>
            </w:r>
          </w:p>
          <w:p w:rsidR="001750DB" w:rsidRPr="006B435C" w:rsidRDefault="001750DB" w:rsidP="00085671">
            <w:pPr>
              <w:pStyle w:val="PlainText"/>
            </w:pPr>
            <w:r w:rsidRPr="006B435C">
              <w:t># 06754000 - SOUTH PLATTE RIVER NEAR KERSEY</w:t>
            </w:r>
          </w:p>
          <w:p w:rsidR="001750DB" w:rsidRPr="006B435C" w:rsidRDefault="001750DB" w:rsidP="00085671">
            <w:pPr>
              <w:pStyle w:val="PlainText"/>
            </w:pPr>
            <w:r w:rsidRPr="006B435C">
              <w:t>06754000.DWR.Streamflow.Month~HydroBase</w:t>
            </w:r>
          </w:p>
          <w:p w:rsidR="001750DB" w:rsidRDefault="001750DB" w:rsidP="00085671">
            <w:pPr>
              <w:pStyle w:val="PlainText"/>
            </w:pPr>
            <w:proofErr w:type="spellStart"/>
            <w:r w:rsidRPr="006B435C">
              <w:t>FillRegression</w:t>
            </w:r>
            <w:proofErr w:type="spellEnd"/>
            <w:r w:rsidRPr="006B435C">
              <w:t>(TSID="06758500.DWR.Streamflow.Month",</w:t>
            </w:r>
          </w:p>
          <w:p w:rsidR="001750DB" w:rsidRDefault="001750DB" w:rsidP="00085671">
            <w:pPr>
              <w:pStyle w:val="PlainText"/>
            </w:pPr>
            <w:proofErr w:type="spellStart"/>
            <w:r w:rsidRPr="006B435C">
              <w:t>IndependentTSID</w:t>
            </w:r>
            <w:proofErr w:type="spellEnd"/>
            <w:r w:rsidRPr="006B435C">
              <w:t>="06754000.DWR.Streamflow.Month")</w:t>
            </w:r>
          </w:p>
          <w:p w:rsidR="00085671" w:rsidRDefault="00085671">
            <w:pPr>
              <w:rPr>
                <w:rFonts w:ascii="Courier New" w:hAnsi="Courier New" w:cs="Courier New"/>
                <w:color w:val="000000"/>
                <w:sz w:val="20"/>
              </w:rPr>
            </w:pPr>
          </w:p>
        </w:tc>
      </w:tr>
    </w:tbl>
    <w:p w:rsidR="00085671" w:rsidRDefault="00085671">
      <w:pPr>
        <w:numPr>
          <w:ilvl w:val="12"/>
          <w:numId w:val="0"/>
        </w:numPr>
      </w:pPr>
      <w:bookmarkStart w:id="1" w:name="replaceValue"/>
    </w:p>
    <w:bookmarkEnd w:id="1"/>
    <w:p w:rsidR="00085671" w:rsidRDefault="00085671">
      <w:pPr>
        <w:rPr>
          <w:color w:val="C0C0C0"/>
        </w:rPr>
      </w:pPr>
    </w:p>
    <w:p w:rsidR="00085671" w:rsidRDefault="00085671" w:rsidP="001750DB">
      <w:pPr>
        <w:rPr>
          <w:color w:val="C0C0C0"/>
        </w:rPr>
      </w:pPr>
    </w:p>
    <w:sectPr w:rsidR="00085671">
      <w:headerReference w:type="even" r:id="rId44"/>
      <w:headerReference w:type="default" r:id="rId45"/>
      <w:footerReference w:type="even" r:id="rId46"/>
      <w:footerReference w:type="default" r:id="rId47"/>
      <w:headerReference w:type="first" r:id="rId48"/>
      <w:footerReference w:type="first" r:id="rId49"/>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EFF" w:rsidRDefault="00566EFF">
      <w:r>
        <w:separator/>
      </w:r>
    </w:p>
  </w:endnote>
  <w:endnote w:type="continuationSeparator" w:id="0">
    <w:p w:rsidR="00566EFF" w:rsidRDefault="00566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671" w:rsidRDefault="00085671">
    <w:pPr>
      <w:pStyle w:val="RTiSWDocFooter"/>
    </w:pPr>
    <w:r>
      <w:t xml:space="preserve">Command Reference – </w:t>
    </w:r>
    <w:proofErr w:type="gramStart"/>
    <w:r w:rsidR="001750DB">
      <w:t>F</w:t>
    </w:r>
    <w:r>
      <w:t>illMOVE2(</w:t>
    </w:r>
    <w:proofErr w:type="gramEnd"/>
    <w:r>
      <w:t xml:space="preserve">) - </w:t>
    </w:r>
    <w:r>
      <w:fldChar w:fldCharType="begin"/>
    </w:r>
    <w:r>
      <w:instrText xml:space="preserve"> PAGE </w:instrText>
    </w:r>
    <w:r>
      <w:fldChar w:fldCharType="separate"/>
    </w:r>
    <w:r w:rsidR="007F6228">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671" w:rsidRDefault="00085671">
    <w:pPr>
      <w:pStyle w:val="RTiSWDocFooter"/>
    </w:pPr>
    <w:r>
      <w:tab/>
    </w:r>
    <w:r>
      <w:tab/>
      <w:t xml:space="preserve">Command Reference – </w:t>
    </w:r>
    <w:proofErr w:type="gramStart"/>
    <w:r w:rsidR="001750DB">
      <w:t>F</w:t>
    </w:r>
    <w:r>
      <w:t>illMOVE2(</w:t>
    </w:r>
    <w:proofErr w:type="gramEnd"/>
    <w:r>
      <w:t xml:space="preserve">) - </w:t>
    </w:r>
    <w:r>
      <w:fldChar w:fldCharType="begin"/>
    </w:r>
    <w:r>
      <w:instrText xml:space="preserve"> PAGE </w:instrText>
    </w:r>
    <w:r>
      <w:fldChar w:fldCharType="separate"/>
    </w:r>
    <w:r w:rsidR="007F6228">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671" w:rsidRDefault="00085671">
    <w:pPr>
      <w:pStyle w:val="RTiSWDocFooter"/>
    </w:pPr>
    <w:r>
      <w:tab/>
    </w:r>
    <w:r>
      <w:tab/>
      <w:t xml:space="preserve">Command Reference – </w:t>
    </w:r>
    <w:proofErr w:type="gramStart"/>
    <w:r w:rsidR="001750DB">
      <w:t>F</w:t>
    </w:r>
    <w:r>
      <w:t>illMOVE2(</w:t>
    </w:r>
    <w:proofErr w:type="gramEnd"/>
    <w:r>
      <w:t xml:space="preserve">) - </w:t>
    </w:r>
    <w:r>
      <w:fldChar w:fldCharType="begin"/>
    </w:r>
    <w:r>
      <w:instrText xml:space="preserve"> PAGE </w:instrText>
    </w:r>
    <w:r>
      <w:fldChar w:fldCharType="separate"/>
    </w:r>
    <w:r w:rsidR="007F622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EFF" w:rsidRDefault="00566EFF">
      <w:r>
        <w:separator/>
      </w:r>
    </w:p>
  </w:footnote>
  <w:footnote w:type="continuationSeparator" w:id="0">
    <w:p w:rsidR="00566EFF" w:rsidRDefault="00566E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671" w:rsidRDefault="001750DB">
    <w:pPr>
      <w:pStyle w:val="RTiSWDocHeader"/>
    </w:pPr>
    <w:r>
      <w:t>F</w:t>
    </w:r>
    <w:r w:rsidR="00085671">
      <w:t>illMOVE2 () Command</w:t>
    </w:r>
    <w:r w:rsidR="00085671">
      <w:tab/>
    </w:r>
    <w:r w:rsidR="00085671">
      <w:tab/>
    </w:r>
    <w:proofErr w:type="spellStart"/>
    <w:r w:rsidR="00085671">
      <w:t>TSTool</w:t>
    </w:r>
    <w:proofErr w:type="spellEnd"/>
    <w:r w:rsidR="00085671">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671" w:rsidRDefault="00085671">
    <w:pPr>
      <w:pStyle w:val="RTiSWDocHeader"/>
    </w:pPr>
    <w:proofErr w:type="spellStart"/>
    <w:r>
      <w:t>TSTool</w:t>
    </w:r>
    <w:proofErr w:type="spellEnd"/>
    <w:r>
      <w:t xml:space="preserve"> Documentation</w:t>
    </w:r>
    <w:r>
      <w:tab/>
    </w:r>
    <w:r>
      <w:tab/>
    </w:r>
    <w:proofErr w:type="gramStart"/>
    <w:r w:rsidR="001750DB">
      <w:t>F</w:t>
    </w:r>
    <w:r>
      <w:t>illMOVE2(</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671" w:rsidRDefault="00085671">
    <w:pPr>
      <w:pStyle w:val="RTiSWDoc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0DB"/>
    <w:rsid w:val="00085671"/>
    <w:rsid w:val="00144698"/>
    <w:rsid w:val="001750DB"/>
    <w:rsid w:val="00566EFF"/>
    <w:rsid w:val="007F6228"/>
    <w:rsid w:val="00A81A97"/>
    <w:rsid w:val="00B05BC7"/>
    <w:rsid w:val="00C9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0A67FA5-97F1-4355-8DC4-B7E87A8B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1750DB"/>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8.png"/><Relationship Id="rId48" Type="http://schemas.openxmlformats.org/officeDocument/2006/relationships/header" Target="header3.xml"/><Relationship Id="rId8" Type="http://schemas.openxmlformats.org/officeDocument/2006/relationships/image" Target="media/image2.wmf"/><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footer" Target="footer1.xml"/><Relationship Id="rId20" Type="http://schemas.openxmlformats.org/officeDocument/2006/relationships/oleObject" Target="embeddings/oleObject8.bin"/><Relationship Id="rId41" Type="http://schemas.openxmlformats.org/officeDocument/2006/relationships/oleObject" Target="embeddings/oleObject19.bin"/><Relationship Id="rId1" Type="http://schemas.openxmlformats.org/officeDocument/2006/relationships/styles" Target="styles.xml"/><Relationship Id="rId6"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2004-02-15T20:50:00Z</cp:lastPrinted>
  <dcterms:created xsi:type="dcterms:W3CDTF">2015-07-30T05:45:00Z</dcterms:created>
  <dcterms:modified xsi:type="dcterms:W3CDTF">2015-07-30T05:50:00Z</dcterms:modified>
</cp:coreProperties>
</file>