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0594A" w:rsidRDefault="00C0594A">
      <w:pPr>
        <w:pStyle w:val="RTiSWDocChapterTitle"/>
      </w:pPr>
      <w:r>
        <w:t xml:space="preserve">Command Reference: </w:t>
      </w:r>
      <w:r w:rsidR="00883F4B">
        <w:t xml:space="preserve"> </w:t>
      </w:r>
      <w:proofErr w:type="spellStart"/>
      <w:proofErr w:type="gramStart"/>
      <w:r w:rsidR="00883F4B">
        <w:t>N</w:t>
      </w:r>
      <w:r>
        <w:t>ewTimeSeries</w:t>
      </w:r>
      <w:proofErr w:type="spellEnd"/>
      <w:r>
        <w:t>()</w:t>
      </w:r>
      <w:proofErr w:type="gramEnd"/>
    </w:p>
    <w:p w:rsidR="00C0594A" w:rsidRDefault="00C0594A">
      <w:pPr>
        <w:pStyle w:val="RTiSWDocChapterSubtitle"/>
      </w:pPr>
      <w:r>
        <w:t>Create a new time series</w:t>
      </w:r>
    </w:p>
    <w:p w:rsidR="00C0594A" w:rsidRDefault="00C0594A">
      <w:pPr>
        <w:pStyle w:val="RTiSWDocNote"/>
      </w:pPr>
      <w:r>
        <w:t xml:space="preserve">Version </w:t>
      </w:r>
      <w:r w:rsidR="002E4943">
        <w:t>1</w:t>
      </w:r>
      <w:r w:rsidR="00592F19">
        <w:t>1</w:t>
      </w:r>
      <w:r>
        <w:t>.</w:t>
      </w:r>
      <w:r w:rsidR="00592F19">
        <w:t>03</w:t>
      </w:r>
      <w:r>
        <w:t>.0</w:t>
      </w:r>
      <w:r w:rsidR="002E4943">
        <w:t>0</w:t>
      </w:r>
      <w:r>
        <w:t>, 20</w:t>
      </w:r>
      <w:r w:rsidR="004023B9">
        <w:t>1</w:t>
      </w:r>
      <w:r w:rsidR="00592F19">
        <w:t>5</w:t>
      </w:r>
      <w:r>
        <w:t>-0</w:t>
      </w:r>
      <w:r w:rsidR="00592F19">
        <w:t>6</w:t>
      </w:r>
      <w:r>
        <w:t>-</w:t>
      </w:r>
      <w:r w:rsidR="00592F19">
        <w:t>01</w:t>
      </w:r>
    </w:p>
    <w:p w:rsidR="00C0594A" w:rsidRDefault="00C0594A">
      <w:pPr>
        <w:rPr>
          <w:b/>
        </w:rPr>
      </w:pPr>
    </w:p>
    <w:p w:rsidR="00C0594A" w:rsidRDefault="00C0594A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883F4B">
        <w:rPr>
          <w:rStyle w:val="RTiSWDocLiteralText"/>
        </w:rPr>
        <w:t>N</w:t>
      </w:r>
      <w:r>
        <w:rPr>
          <w:rStyle w:val="RTiSWDocLiteralText"/>
        </w:rPr>
        <w:t>ewTimeSeries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creates a new time series and assigns it an alias.  Th</w:t>
      </w:r>
      <w:r w:rsidR="00CE3B34">
        <w:t>e</w:t>
      </w:r>
      <w:r>
        <w:t xml:space="preserve"> command is useful, for example, to create a new time series to receive the results of a series of manipulations, rather than having the results accumulate in the first time series.</w:t>
      </w:r>
      <w:r w:rsidR="00870270">
        <w:t xml:space="preserve">  See also the </w:t>
      </w:r>
      <w:proofErr w:type="spellStart"/>
      <w:proofErr w:type="gramStart"/>
      <w:r w:rsidR="00870270" w:rsidRPr="00870270">
        <w:rPr>
          <w:rStyle w:val="RTiSWDocLiteralText"/>
        </w:rPr>
        <w:t>NewPatternTimeSeries</w:t>
      </w:r>
      <w:proofErr w:type="spellEnd"/>
      <w:r w:rsidR="00870270" w:rsidRPr="00870270">
        <w:rPr>
          <w:rStyle w:val="RTiSWDocLiteralText"/>
        </w:rPr>
        <w:t>(</w:t>
      </w:r>
      <w:proofErr w:type="gramEnd"/>
      <w:r w:rsidR="00870270" w:rsidRPr="00870270">
        <w:rPr>
          <w:rStyle w:val="RTiSWDocLiteralText"/>
        </w:rPr>
        <w:t>)</w:t>
      </w:r>
      <w:r w:rsidR="00870270">
        <w:t>command, which initializes a time series with a repeating pattern of values.</w:t>
      </w:r>
      <w:r w:rsidR="00DC556A">
        <w:t xml:space="preserve">  Subsequent manipulation of the time series may require use of the </w:t>
      </w:r>
      <w:proofErr w:type="spellStart"/>
      <w:proofErr w:type="gramStart"/>
      <w:r w:rsidR="00DC556A" w:rsidRPr="00DC556A">
        <w:rPr>
          <w:rStyle w:val="RTiSWDocLiteralText"/>
        </w:rPr>
        <w:t>SetTimeSeriesProperty</w:t>
      </w:r>
      <w:proofErr w:type="spellEnd"/>
      <w:r w:rsidR="00DC556A" w:rsidRPr="00DC556A">
        <w:rPr>
          <w:rStyle w:val="RTiSWDocLiteralText"/>
        </w:rPr>
        <w:t>(</w:t>
      </w:r>
      <w:proofErr w:type="gramEnd"/>
      <w:r w:rsidR="00DC556A" w:rsidRPr="00DC556A">
        <w:rPr>
          <w:rStyle w:val="RTiSWDocLiteralText"/>
        </w:rPr>
        <w:t>)</w:t>
      </w:r>
      <w:r w:rsidR="00DC556A">
        <w:t xml:space="preserve"> and other commands to ensure that the new time series properties are as desired.</w:t>
      </w:r>
      <w:r w:rsidR="00592F19">
        <w:t xml:space="preserve">  </w:t>
      </w:r>
      <w:r>
        <w:t>The following dialog is used to edit the command and illustrates the syntax for the command.  The new time series identifier</w:t>
      </w:r>
      <w:r w:rsidR="002E4943">
        <w:t>, which provides critical information including the data interval,</w:t>
      </w:r>
      <w:r>
        <w:t xml:space="preserve"> </w:t>
      </w:r>
      <w:r w:rsidR="00883F4B">
        <w:t>is</w:t>
      </w:r>
      <w:r>
        <w:t xml:space="preserve"> edited by pressing the </w:t>
      </w:r>
      <w:r>
        <w:rPr>
          <w:rStyle w:val="RTiSWDocGUIReference"/>
        </w:rPr>
        <w:t>Edit</w:t>
      </w:r>
      <w:r>
        <w:t xml:space="preserve"> button.</w:t>
      </w:r>
    </w:p>
    <w:p w:rsidR="00C0594A" w:rsidRDefault="00C0594A">
      <w:pPr>
        <w:numPr>
          <w:ilvl w:val="12"/>
          <w:numId w:val="0"/>
        </w:numPr>
      </w:pPr>
    </w:p>
    <w:p w:rsidR="00C0594A" w:rsidRDefault="00993E9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440680" cy="3960033"/>
            <wp:effectExtent l="0" t="0" r="7620" b="2540"/>
            <wp:docPr id="1" name="Picture 1" descr="command_NewTime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and_NewTimeSeri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363" cy="396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94A" w:rsidRDefault="00883F4B">
      <w:pPr>
        <w:pStyle w:val="RTiSWDocNote"/>
      </w:pPr>
      <w:proofErr w:type="spellStart"/>
      <w:r>
        <w:t>N</w:t>
      </w:r>
      <w:r w:rsidR="00C0594A">
        <w:t>ewTimeSeries</w:t>
      </w:r>
      <w:proofErr w:type="spellEnd"/>
    </w:p>
    <w:p w:rsidR="00C0594A" w:rsidRDefault="00883F4B">
      <w:pPr>
        <w:pStyle w:val="RTiSWDocFigureTableTitle"/>
      </w:pPr>
      <w:proofErr w:type="spellStart"/>
      <w:proofErr w:type="gramStart"/>
      <w:r>
        <w:t>N</w:t>
      </w:r>
      <w:r w:rsidR="00C0594A">
        <w:t>ewTimeSeries</w:t>
      </w:r>
      <w:proofErr w:type="spellEnd"/>
      <w:r w:rsidR="00C0594A">
        <w:t>(</w:t>
      </w:r>
      <w:proofErr w:type="gramEnd"/>
      <w:r w:rsidR="00C0594A">
        <w:t>) Command Editor</w:t>
      </w:r>
    </w:p>
    <w:p w:rsidR="00C0594A" w:rsidRDefault="00C0594A"/>
    <w:p w:rsidR="00C0594A" w:rsidRDefault="00C0594A">
      <w:r>
        <w:t>The command syntax is as follows:</w:t>
      </w:r>
    </w:p>
    <w:p w:rsidR="00C0594A" w:rsidRDefault="00C0594A"/>
    <w:p w:rsidR="00C0594A" w:rsidRDefault="00883F4B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NewTimeSeries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C0594A">
        <w:rPr>
          <w:rStyle w:val="RTiSWDocLiteralText"/>
        </w:rPr>
        <w:t>aram</w:t>
      </w:r>
      <w:r>
        <w:rPr>
          <w:rStyle w:val="RTiSWDocLiteralText"/>
        </w:rPr>
        <w:t>eter=V</w:t>
      </w:r>
      <w:r w:rsidR="00C0594A">
        <w:rPr>
          <w:rStyle w:val="RTiSWDocLiteralText"/>
        </w:rPr>
        <w:t>alue,…)</w:t>
      </w:r>
    </w:p>
    <w:p w:rsidR="007A669B" w:rsidRDefault="007A669B">
      <w:pPr>
        <w:ind w:left="720"/>
        <w:rPr>
          <w:rStyle w:val="RTiSWDocLiteralText"/>
        </w:rPr>
      </w:pPr>
    </w:p>
    <w:p w:rsidR="007A669B" w:rsidRDefault="007A669B" w:rsidP="007A669B">
      <w:r>
        <w:t>The following older command syntax is updated to the above syntax when a command file is read:</w:t>
      </w:r>
    </w:p>
    <w:p w:rsidR="00592F19" w:rsidRDefault="00592F19" w:rsidP="007A669B"/>
    <w:p w:rsidR="007A669B" w:rsidRDefault="007A669B" w:rsidP="007A669B">
      <w:pPr>
        <w:ind w:left="720"/>
        <w:rPr>
          <w:rStyle w:val="RTiSWDocLiteralText"/>
        </w:rPr>
      </w:pPr>
      <w:r>
        <w:rPr>
          <w:rStyle w:val="RTiSWDocLiteralText"/>
        </w:rPr>
        <w:t xml:space="preserve">TS Alias = </w:t>
      </w:r>
      <w:proofErr w:type="spellStart"/>
      <w:proofErr w:type="gramStart"/>
      <w:r>
        <w:rPr>
          <w:rStyle w:val="RTiSWDocLiteralText"/>
        </w:rPr>
        <w:t>NewTimeSeries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Parameter=Value,…)</w:t>
      </w:r>
    </w:p>
    <w:p w:rsidR="00592F19" w:rsidRDefault="00592F19">
      <w:pPr>
        <w:pStyle w:val="RTiSWDocFigureTableTitle"/>
      </w:pPr>
    </w:p>
    <w:p w:rsidR="00592F19" w:rsidRDefault="00592F19">
      <w:pPr>
        <w:pStyle w:val="RTiSWDocFigureTableTitle"/>
      </w:pPr>
    </w:p>
    <w:p w:rsidR="00C0594A" w:rsidRDefault="00C0594A">
      <w:pPr>
        <w:pStyle w:val="RTiSWDocFigureTableTitle"/>
      </w:pPr>
      <w:r>
        <w:lastRenderedPageBreak/>
        <w:t>Command Parameters</w:t>
      </w:r>
    </w:p>
    <w:tbl>
      <w:tblPr>
        <w:tblW w:w="10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9"/>
        <w:gridCol w:w="5476"/>
        <w:gridCol w:w="3240"/>
      </w:tblGrid>
      <w:tr w:rsidR="00C0594A" w:rsidTr="00592F19">
        <w:trPr>
          <w:jc w:val="center"/>
        </w:trPr>
        <w:tc>
          <w:tcPr>
            <w:tcW w:w="1899" w:type="dxa"/>
            <w:shd w:val="clear" w:color="auto" w:fill="C0C0C0"/>
          </w:tcPr>
          <w:p w:rsidR="00C0594A" w:rsidRDefault="00C0594A">
            <w:pPr>
              <w:pStyle w:val="RTiSWDocTableHeading"/>
            </w:pPr>
            <w:bookmarkStart w:id="0" w:name="_GoBack"/>
            <w:bookmarkEnd w:id="0"/>
            <w:r>
              <w:t>Parameter</w:t>
            </w:r>
          </w:p>
        </w:tc>
        <w:tc>
          <w:tcPr>
            <w:tcW w:w="5476" w:type="dxa"/>
            <w:shd w:val="clear" w:color="auto" w:fill="C0C0C0"/>
          </w:tcPr>
          <w:p w:rsidR="00C0594A" w:rsidRDefault="00C0594A">
            <w:pPr>
              <w:pStyle w:val="RTiSWDocTableHeading"/>
            </w:pPr>
            <w:r>
              <w:t>Description</w:t>
            </w:r>
          </w:p>
        </w:tc>
        <w:tc>
          <w:tcPr>
            <w:tcW w:w="3240" w:type="dxa"/>
            <w:shd w:val="clear" w:color="auto" w:fill="C0C0C0"/>
          </w:tcPr>
          <w:p w:rsidR="00C0594A" w:rsidRDefault="00C0594A">
            <w:pPr>
              <w:pStyle w:val="RTiSWDocTableHeading"/>
            </w:pPr>
            <w:r>
              <w:t>Default</w:t>
            </w:r>
          </w:p>
        </w:tc>
      </w:tr>
      <w:tr w:rsidR="007A669B" w:rsidTr="00592F19">
        <w:trPr>
          <w:jc w:val="center"/>
        </w:trPr>
        <w:tc>
          <w:tcPr>
            <w:tcW w:w="1899" w:type="dxa"/>
          </w:tcPr>
          <w:p w:rsidR="007A669B" w:rsidRDefault="007A669B" w:rsidP="00E2431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Alias</w:t>
            </w:r>
          </w:p>
        </w:tc>
        <w:tc>
          <w:tcPr>
            <w:tcW w:w="5476" w:type="dxa"/>
          </w:tcPr>
          <w:p w:rsidR="007A669B" w:rsidRDefault="007A669B" w:rsidP="00E24314">
            <w:r>
              <w:t>The alias to assign to the time series, as a literal string or using the special formatting characters listed by the command editor.  The alias is a short identifier used by other commands to locate time series for processing, as an alternative to the time series identifier (TSID).</w:t>
            </w:r>
            <w:r w:rsidR="00592F19">
              <w:t xml:space="preserve">  Can be specified using processor </w:t>
            </w:r>
            <w:r w:rsidR="00592F19" w:rsidRPr="00592F19">
              <w:rPr>
                <w:rStyle w:val="RTiSWDocLiteralText"/>
              </w:rPr>
              <w:t>${Property}</w:t>
            </w:r>
            <w:r w:rsidR="00592F19">
              <w:t>.</w:t>
            </w:r>
          </w:p>
        </w:tc>
        <w:tc>
          <w:tcPr>
            <w:tcW w:w="3240" w:type="dxa"/>
          </w:tcPr>
          <w:p w:rsidR="007A669B" w:rsidRDefault="007A669B" w:rsidP="00E24314">
            <w:r>
              <w:t>None – must be specified.</w:t>
            </w:r>
          </w:p>
        </w:tc>
      </w:tr>
      <w:tr w:rsidR="00C0594A" w:rsidTr="00592F19">
        <w:trPr>
          <w:jc w:val="center"/>
        </w:trPr>
        <w:tc>
          <w:tcPr>
            <w:tcW w:w="1899" w:type="dxa"/>
          </w:tcPr>
          <w:p w:rsidR="00C0594A" w:rsidRDefault="00C0594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NewTSID</w:t>
            </w:r>
            <w:proofErr w:type="spellEnd"/>
          </w:p>
        </w:tc>
        <w:tc>
          <w:tcPr>
            <w:tcW w:w="5476" w:type="dxa"/>
          </w:tcPr>
          <w:p w:rsidR="00C0594A" w:rsidRDefault="00C0594A">
            <w:r>
              <w:t>The time series identifier of the new time series.  The editor dialog formats the identifier from its parts.</w:t>
            </w:r>
            <w:r w:rsidR="00592F19">
              <w:t xml:space="preserve">  </w:t>
            </w:r>
            <w:r w:rsidR="00592F19">
              <w:t xml:space="preserve">Can be specified using processor </w:t>
            </w:r>
            <w:r w:rsidR="00592F19" w:rsidRPr="00592F19">
              <w:rPr>
                <w:rStyle w:val="RTiSWDocLiteralText"/>
              </w:rPr>
              <w:t>${Property}</w:t>
            </w:r>
            <w:r w:rsidR="00592F19">
              <w:t>.</w:t>
            </w:r>
          </w:p>
        </w:tc>
        <w:tc>
          <w:tcPr>
            <w:tcW w:w="3240" w:type="dxa"/>
          </w:tcPr>
          <w:p w:rsidR="00C0594A" w:rsidRDefault="00C0594A">
            <w:r>
              <w:t>None – must be specified with at least minimal information (location, data type</w:t>
            </w:r>
            <w:r w:rsidR="002B1972">
              <w:t xml:space="preserve">, </w:t>
            </w:r>
            <w:r w:rsidR="007A669B">
              <w:t xml:space="preserve">and </w:t>
            </w:r>
            <w:r w:rsidR="002B1972">
              <w:t>interval</w:t>
            </w:r>
            <w:r>
              <w:t>).</w:t>
            </w:r>
          </w:p>
        </w:tc>
      </w:tr>
      <w:tr w:rsidR="00C0594A" w:rsidTr="00592F19">
        <w:trPr>
          <w:jc w:val="center"/>
        </w:trPr>
        <w:tc>
          <w:tcPr>
            <w:tcW w:w="1899" w:type="dxa"/>
          </w:tcPr>
          <w:p w:rsidR="00C0594A" w:rsidRDefault="00C0594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Description</w:t>
            </w:r>
          </w:p>
        </w:tc>
        <w:tc>
          <w:tcPr>
            <w:tcW w:w="5476" w:type="dxa"/>
          </w:tcPr>
          <w:p w:rsidR="00C0594A" w:rsidRDefault="00C0594A">
            <w:r>
              <w:t>The description for the time series, used in output.</w:t>
            </w:r>
            <w:r w:rsidR="00592F19">
              <w:t xml:space="preserve">  </w:t>
            </w:r>
            <w:r w:rsidR="00592F19">
              <w:t xml:space="preserve">Can be specified using processor </w:t>
            </w:r>
            <w:r w:rsidR="00592F19" w:rsidRPr="00592F19">
              <w:rPr>
                <w:rStyle w:val="RTiSWDocLiteralText"/>
              </w:rPr>
              <w:t>${Property}</w:t>
            </w:r>
            <w:r w:rsidR="00592F19">
              <w:t>.</w:t>
            </w:r>
          </w:p>
        </w:tc>
        <w:tc>
          <w:tcPr>
            <w:tcW w:w="3240" w:type="dxa"/>
          </w:tcPr>
          <w:p w:rsidR="00C0594A" w:rsidRDefault="00C0594A">
            <w:r>
              <w:t>Blank.</w:t>
            </w:r>
          </w:p>
        </w:tc>
      </w:tr>
      <w:tr w:rsidR="00C0594A" w:rsidTr="00592F19">
        <w:trPr>
          <w:jc w:val="center"/>
        </w:trPr>
        <w:tc>
          <w:tcPr>
            <w:tcW w:w="1899" w:type="dxa"/>
          </w:tcPr>
          <w:p w:rsidR="00C0594A" w:rsidRDefault="00C0594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SetStart</w:t>
            </w:r>
            <w:proofErr w:type="spellEnd"/>
          </w:p>
        </w:tc>
        <w:tc>
          <w:tcPr>
            <w:tcW w:w="5476" w:type="dxa"/>
          </w:tcPr>
          <w:p w:rsidR="00C0594A" w:rsidRDefault="00C0594A" w:rsidP="005B390B">
            <w:r>
              <w:t>The start of the time series data period</w:t>
            </w:r>
            <w:r w:rsidR="005B390B">
              <w:t>.</w:t>
            </w:r>
            <w:r w:rsidR="00592F19">
              <w:t xml:space="preserve">  </w:t>
            </w:r>
            <w:r w:rsidR="00592F19">
              <w:t xml:space="preserve">Can be specified using processor </w:t>
            </w:r>
            <w:r w:rsidR="00592F19" w:rsidRPr="00592F19">
              <w:rPr>
                <w:rStyle w:val="RTiSWDocLiteralText"/>
              </w:rPr>
              <w:t>${Property}</w:t>
            </w:r>
            <w:r w:rsidR="00592F19">
              <w:t>.</w:t>
            </w:r>
          </w:p>
        </w:tc>
        <w:tc>
          <w:tcPr>
            <w:tcW w:w="3240" w:type="dxa"/>
          </w:tcPr>
          <w:p w:rsidR="00C0594A" w:rsidRDefault="00C0594A">
            <w:r>
              <w:t xml:space="preserve">Use the start from </w:t>
            </w:r>
            <w:proofErr w:type="spellStart"/>
            <w:proofErr w:type="gramStart"/>
            <w:r w:rsidR="002B1972">
              <w:rPr>
                <w:rStyle w:val="RTiSWDocLiteralText"/>
              </w:rPr>
              <w:t>S</w:t>
            </w:r>
            <w:r>
              <w:rPr>
                <w:rStyle w:val="RTiSWDocLiteralText"/>
              </w:rPr>
              <w:t>etOutputPeriod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>.</w:t>
            </w:r>
          </w:p>
        </w:tc>
      </w:tr>
      <w:tr w:rsidR="00C0594A" w:rsidTr="00592F19">
        <w:trPr>
          <w:jc w:val="center"/>
        </w:trPr>
        <w:tc>
          <w:tcPr>
            <w:tcW w:w="1899" w:type="dxa"/>
          </w:tcPr>
          <w:p w:rsidR="00C0594A" w:rsidRDefault="00C0594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SetEnd</w:t>
            </w:r>
            <w:proofErr w:type="spellEnd"/>
          </w:p>
        </w:tc>
        <w:tc>
          <w:tcPr>
            <w:tcW w:w="5476" w:type="dxa"/>
          </w:tcPr>
          <w:p w:rsidR="00C0594A" w:rsidRDefault="00C0594A" w:rsidP="005B390B">
            <w:r>
              <w:t>The end of the time series data period</w:t>
            </w:r>
            <w:r w:rsidR="005B390B">
              <w:t>.</w:t>
            </w:r>
            <w:r w:rsidR="00592F19">
              <w:t xml:space="preserve">  </w:t>
            </w:r>
            <w:r w:rsidR="00592F19">
              <w:t xml:space="preserve">Can be specified using processor </w:t>
            </w:r>
            <w:r w:rsidR="00592F19" w:rsidRPr="00592F19">
              <w:rPr>
                <w:rStyle w:val="RTiSWDocLiteralText"/>
              </w:rPr>
              <w:t>${Property}</w:t>
            </w:r>
            <w:r w:rsidR="00592F19">
              <w:t>.</w:t>
            </w:r>
          </w:p>
        </w:tc>
        <w:tc>
          <w:tcPr>
            <w:tcW w:w="3240" w:type="dxa"/>
          </w:tcPr>
          <w:p w:rsidR="00C0594A" w:rsidRDefault="00C0594A">
            <w:r>
              <w:t xml:space="preserve">Use the end from </w:t>
            </w:r>
            <w:proofErr w:type="spellStart"/>
            <w:proofErr w:type="gramStart"/>
            <w:r w:rsidR="002B1972">
              <w:rPr>
                <w:rStyle w:val="RTiSWDocLiteralText"/>
              </w:rPr>
              <w:t>S</w:t>
            </w:r>
            <w:r>
              <w:rPr>
                <w:rStyle w:val="RTiSWDocLiteralText"/>
              </w:rPr>
              <w:t>etOutputPeriod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>.</w:t>
            </w:r>
          </w:p>
        </w:tc>
      </w:tr>
      <w:tr w:rsidR="00C0594A" w:rsidTr="00592F19">
        <w:trPr>
          <w:jc w:val="center"/>
        </w:trPr>
        <w:tc>
          <w:tcPr>
            <w:tcW w:w="1899" w:type="dxa"/>
          </w:tcPr>
          <w:p w:rsidR="00C0594A" w:rsidRDefault="00C0594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Units</w:t>
            </w:r>
          </w:p>
        </w:tc>
        <w:tc>
          <w:tcPr>
            <w:tcW w:w="5476" w:type="dxa"/>
          </w:tcPr>
          <w:p w:rsidR="00C0594A" w:rsidRDefault="00C0594A">
            <w:r>
              <w:t>Data units for the time series.</w:t>
            </w:r>
            <w:r w:rsidR="00592F19">
              <w:t xml:space="preserve">  </w:t>
            </w:r>
            <w:r w:rsidR="00592F19">
              <w:t xml:space="preserve">Can be specified using processor </w:t>
            </w:r>
            <w:r w:rsidR="00592F19" w:rsidRPr="00592F19">
              <w:rPr>
                <w:rStyle w:val="RTiSWDocLiteralText"/>
              </w:rPr>
              <w:t>${Property}</w:t>
            </w:r>
            <w:r w:rsidR="00592F19">
              <w:t>.</w:t>
            </w:r>
          </w:p>
        </w:tc>
        <w:tc>
          <w:tcPr>
            <w:tcW w:w="3240" w:type="dxa"/>
          </w:tcPr>
          <w:p w:rsidR="00C0594A" w:rsidRDefault="00C0594A">
            <w:r>
              <w:t>Blank.</w:t>
            </w:r>
          </w:p>
        </w:tc>
      </w:tr>
      <w:tr w:rsidR="00870270" w:rsidTr="00592F19">
        <w:trPr>
          <w:jc w:val="center"/>
        </w:trPr>
        <w:tc>
          <w:tcPr>
            <w:tcW w:w="1899" w:type="dxa"/>
          </w:tcPr>
          <w:p w:rsidR="00870270" w:rsidRDefault="00870270" w:rsidP="00152B7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MissingValue</w:t>
            </w:r>
            <w:proofErr w:type="spellEnd"/>
          </w:p>
        </w:tc>
        <w:tc>
          <w:tcPr>
            <w:tcW w:w="5476" w:type="dxa"/>
          </w:tcPr>
          <w:p w:rsidR="00870270" w:rsidRDefault="00870270" w:rsidP="005B390B">
            <w:r>
              <w:t xml:space="preserve">Value </w:t>
            </w:r>
            <w:r w:rsidR="005B390B">
              <w:t>for</w:t>
            </w:r>
            <w:r>
              <w:t xml:space="preserve"> missing data values.  </w:t>
            </w:r>
            <w:r w:rsidRPr="004F3F00">
              <w:rPr>
                <w:rStyle w:val="RTiSWDocLiteralText"/>
              </w:rPr>
              <w:t>-999</w:t>
            </w:r>
            <w:r>
              <w:t xml:space="preserve"> is the default for historical reasons; however, </w:t>
            </w:r>
            <w:proofErr w:type="spellStart"/>
            <w:r w:rsidRPr="00D03146">
              <w:rPr>
                <w:rStyle w:val="RTiSWDocLiteralText"/>
              </w:rPr>
              <w:t>NaN</w:t>
            </w:r>
            <w:proofErr w:type="spellEnd"/>
            <w:r>
              <w:t xml:space="preserve"> (not a number) is being phased in and should be specified if possible.</w:t>
            </w:r>
            <w:r w:rsidR="00592F19">
              <w:t xml:space="preserve">  </w:t>
            </w:r>
            <w:r w:rsidR="00592F19">
              <w:t xml:space="preserve">Can be specified using processor </w:t>
            </w:r>
            <w:r w:rsidR="00592F19" w:rsidRPr="00592F19">
              <w:rPr>
                <w:rStyle w:val="RTiSWDocLiteralText"/>
              </w:rPr>
              <w:t>${Property}</w:t>
            </w:r>
            <w:r w:rsidR="00592F19">
              <w:t>.</w:t>
            </w:r>
          </w:p>
        </w:tc>
        <w:tc>
          <w:tcPr>
            <w:tcW w:w="3240" w:type="dxa"/>
          </w:tcPr>
          <w:p w:rsidR="00870270" w:rsidRPr="004F3F00" w:rsidRDefault="00870270" w:rsidP="00152B70">
            <w:pPr>
              <w:rPr>
                <w:rStyle w:val="RTiSWDocLiteralText"/>
              </w:rPr>
            </w:pPr>
            <w:r w:rsidRPr="004F3F00">
              <w:rPr>
                <w:rStyle w:val="RTiSWDocLiteralText"/>
              </w:rPr>
              <w:t>-999</w:t>
            </w:r>
          </w:p>
        </w:tc>
      </w:tr>
      <w:tr w:rsidR="00870270" w:rsidTr="00592F19">
        <w:trPr>
          <w:jc w:val="center"/>
        </w:trPr>
        <w:tc>
          <w:tcPr>
            <w:tcW w:w="1899" w:type="dxa"/>
          </w:tcPr>
          <w:p w:rsidR="00870270" w:rsidRDefault="0087027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InitialValue</w:t>
            </w:r>
            <w:proofErr w:type="spellEnd"/>
          </w:p>
        </w:tc>
        <w:tc>
          <w:tcPr>
            <w:tcW w:w="5476" w:type="dxa"/>
          </w:tcPr>
          <w:p w:rsidR="00870270" w:rsidRDefault="00870270" w:rsidP="0017700B">
            <w:r>
              <w:t xml:space="preserve">The value to </w:t>
            </w:r>
            <w:r w:rsidR="0017700B">
              <w:t xml:space="preserve">initialize </w:t>
            </w:r>
            <w:r>
              <w:t>the time series.</w:t>
            </w:r>
            <w:r w:rsidR="00592F19">
              <w:t xml:space="preserve">  </w:t>
            </w:r>
            <w:r w:rsidR="00592F19">
              <w:t xml:space="preserve">Can be specified using processor </w:t>
            </w:r>
            <w:r w:rsidR="00592F19" w:rsidRPr="00592F19">
              <w:rPr>
                <w:rStyle w:val="RTiSWDocLiteralText"/>
              </w:rPr>
              <w:t>${Property}</w:t>
            </w:r>
            <w:r w:rsidR="00592F19">
              <w:t>.</w:t>
            </w:r>
          </w:p>
        </w:tc>
        <w:tc>
          <w:tcPr>
            <w:tcW w:w="3240" w:type="dxa"/>
          </w:tcPr>
          <w:p w:rsidR="00870270" w:rsidRDefault="00870270">
            <w:r>
              <w:t>Initialize the time series to missing data.</w:t>
            </w:r>
          </w:p>
        </w:tc>
      </w:tr>
      <w:tr w:rsidR="00884024" w:rsidTr="00592F19">
        <w:trPr>
          <w:jc w:val="center"/>
        </w:trPr>
        <w:tc>
          <w:tcPr>
            <w:tcW w:w="1899" w:type="dxa"/>
          </w:tcPr>
          <w:p w:rsidR="00884024" w:rsidRDefault="008840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InitialFlag</w:t>
            </w:r>
            <w:proofErr w:type="spellEnd"/>
          </w:p>
        </w:tc>
        <w:tc>
          <w:tcPr>
            <w:tcW w:w="5476" w:type="dxa"/>
          </w:tcPr>
          <w:p w:rsidR="00884024" w:rsidRDefault="00884024">
            <w:r>
              <w:t>The initial flag value to initialize the time series.</w:t>
            </w:r>
            <w:r w:rsidR="00592F19">
              <w:t xml:space="preserve">  </w:t>
            </w:r>
            <w:r w:rsidR="00592F19">
              <w:t xml:space="preserve">Can be specified using processor </w:t>
            </w:r>
            <w:r w:rsidR="00592F19" w:rsidRPr="00592F19">
              <w:rPr>
                <w:rStyle w:val="RTiSWDocLiteralText"/>
              </w:rPr>
              <w:t>${Property}</w:t>
            </w:r>
            <w:r w:rsidR="00592F19">
              <w:t>.</w:t>
            </w:r>
          </w:p>
        </w:tc>
        <w:tc>
          <w:tcPr>
            <w:tcW w:w="3240" w:type="dxa"/>
          </w:tcPr>
          <w:p w:rsidR="00884024" w:rsidRDefault="00884024">
            <w:r>
              <w:t>No flag is set.</w:t>
            </w:r>
          </w:p>
        </w:tc>
      </w:tr>
      <w:tr w:rsidR="0017700B" w:rsidTr="00592F19">
        <w:trPr>
          <w:jc w:val="center"/>
        </w:trPr>
        <w:tc>
          <w:tcPr>
            <w:tcW w:w="1899" w:type="dxa"/>
          </w:tcPr>
          <w:p w:rsidR="00884024" w:rsidRDefault="0017700B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Initial</w:t>
            </w:r>
          </w:p>
          <w:p w:rsidR="0017700B" w:rsidRDefault="0017700B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Function</w:t>
            </w:r>
          </w:p>
        </w:tc>
        <w:tc>
          <w:tcPr>
            <w:tcW w:w="5476" w:type="dxa"/>
          </w:tcPr>
          <w:p w:rsidR="0017700B" w:rsidRDefault="0017700B">
            <w:r>
              <w:t>The function to use to initialize time series data values.</w:t>
            </w:r>
            <w:r w:rsidR="00FC1954">
              <w:t xml:space="preserve">  This parameter can be used to generate data for testing to simplify visual inspection of results.</w:t>
            </w:r>
          </w:p>
          <w:p w:rsidR="005B390B" w:rsidRDefault="005B390B" w:rsidP="005B390B">
            <w:pPr>
              <w:numPr>
                <w:ilvl w:val="0"/>
                <w:numId w:val="11"/>
              </w:numPr>
            </w:pPr>
            <w:r w:rsidRPr="005B390B">
              <w:rPr>
                <w:rStyle w:val="RTiSWDocLiteralText"/>
              </w:rPr>
              <w:t>DATE_YYYY</w:t>
            </w:r>
            <w:r>
              <w:t xml:space="preserve"> – 4-digit year</w:t>
            </w:r>
          </w:p>
          <w:p w:rsidR="005B390B" w:rsidRDefault="005B390B" w:rsidP="005B390B">
            <w:pPr>
              <w:numPr>
                <w:ilvl w:val="0"/>
                <w:numId w:val="11"/>
              </w:numPr>
            </w:pPr>
            <w:r w:rsidRPr="005B390B">
              <w:rPr>
                <w:rStyle w:val="RTiSWDocLiteralText"/>
              </w:rPr>
              <w:t>DATE_YYYYMM</w:t>
            </w:r>
            <w:r>
              <w:t xml:space="preserve"> – and month</w:t>
            </w:r>
          </w:p>
          <w:p w:rsidR="005B390B" w:rsidRDefault="005B390B" w:rsidP="005B390B">
            <w:pPr>
              <w:numPr>
                <w:ilvl w:val="0"/>
                <w:numId w:val="11"/>
              </w:numPr>
            </w:pPr>
            <w:r w:rsidRPr="005B390B">
              <w:rPr>
                <w:rStyle w:val="RTiSWDocLiteralText"/>
              </w:rPr>
              <w:t>DATE_YYYYMMDD</w:t>
            </w:r>
            <w:r>
              <w:t xml:space="preserve"> – year, month, and day</w:t>
            </w:r>
          </w:p>
          <w:p w:rsidR="005B390B" w:rsidRDefault="005B390B" w:rsidP="005B390B">
            <w:pPr>
              <w:numPr>
                <w:ilvl w:val="0"/>
                <w:numId w:val="11"/>
              </w:numPr>
            </w:pPr>
            <w:proofErr w:type="spellStart"/>
            <w:r>
              <w:t>D</w:t>
            </w:r>
            <w:r w:rsidRPr="005B390B">
              <w:rPr>
                <w:rStyle w:val="RTiSWDocLiteralText"/>
              </w:rPr>
              <w:t>ATE_YYYYMMDD_hh</w:t>
            </w:r>
            <w:proofErr w:type="spellEnd"/>
            <w:r>
              <w:t xml:space="preserve"> – year, month, and day, with decimal as hour</w:t>
            </w:r>
          </w:p>
          <w:p w:rsidR="005B390B" w:rsidRDefault="005B390B" w:rsidP="005B390B">
            <w:pPr>
              <w:numPr>
                <w:ilvl w:val="0"/>
                <w:numId w:val="11"/>
              </w:numPr>
            </w:pPr>
            <w:proofErr w:type="spellStart"/>
            <w:r w:rsidRPr="005B390B">
              <w:rPr>
                <w:rStyle w:val="RTiSWDocLiteralText"/>
              </w:rPr>
              <w:t>DATE_YYYYMMDD_hhmm</w:t>
            </w:r>
            <w:proofErr w:type="spellEnd"/>
            <w:r>
              <w:t xml:space="preserve"> – year, month, and day, with decimal as hour and minute</w:t>
            </w:r>
          </w:p>
          <w:p w:rsidR="005B390B" w:rsidRDefault="005B390B" w:rsidP="005B390B">
            <w:pPr>
              <w:numPr>
                <w:ilvl w:val="0"/>
                <w:numId w:val="11"/>
              </w:numPr>
            </w:pPr>
            <w:r>
              <w:rPr>
                <w:rStyle w:val="RTiSWDocLiteralText"/>
              </w:rPr>
              <w:t>RANDOM_0_1</w:t>
            </w:r>
            <w:r>
              <w:t xml:space="preserve"> – random number &gt;= 0 and &lt; 1</w:t>
            </w:r>
          </w:p>
          <w:p w:rsidR="005B390B" w:rsidRDefault="005B390B" w:rsidP="005B390B">
            <w:pPr>
              <w:numPr>
                <w:ilvl w:val="0"/>
                <w:numId w:val="11"/>
              </w:numPr>
            </w:pPr>
            <w:r>
              <w:rPr>
                <w:rStyle w:val="RTiSWDocLiteralText"/>
              </w:rPr>
              <w:t>RANDOM_0_1000</w:t>
            </w:r>
            <w:r>
              <w:t xml:space="preserve"> – random number &gt;= 0 and &lt; 1000</w:t>
            </w:r>
          </w:p>
        </w:tc>
        <w:tc>
          <w:tcPr>
            <w:tcW w:w="3240" w:type="dxa"/>
          </w:tcPr>
          <w:p w:rsidR="0017700B" w:rsidRDefault="00FC1954">
            <w:r>
              <w:t>Initialize the time series to missing data.</w:t>
            </w:r>
          </w:p>
        </w:tc>
      </w:tr>
    </w:tbl>
    <w:p w:rsidR="00C0594A" w:rsidRDefault="00C0594A">
      <w:pPr>
        <w:rPr>
          <w:color w:val="C0C0C0"/>
        </w:rPr>
      </w:pPr>
    </w:p>
    <w:p w:rsidR="00C0594A" w:rsidRDefault="007A669B">
      <w:pPr>
        <w:rPr>
          <w:color w:val="000000"/>
        </w:rPr>
      </w:pPr>
      <w:r>
        <w:rPr>
          <w:color w:val="000000"/>
        </w:rPr>
        <w:t>The example command</w:t>
      </w:r>
      <w:r w:rsidR="00C0594A">
        <w:rPr>
          <w:color w:val="000000"/>
        </w:rPr>
        <w:t xml:space="preserve"> file shown below creates a new time series and initializes it to a constant of 20 CFS.  </w:t>
      </w:r>
      <w:r>
        <w:rPr>
          <w:color w:val="000000"/>
        </w:rPr>
        <w:t xml:space="preserve">Uncommenting </w:t>
      </w:r>
      <w:r w:rsidR="00C0594A">
        <w:rPr>
          <w:color w:val="000000"/>
        </w:rPr>
        <w:t xml:space="preserve">the first command would allow the </w:t>
      </w:r>
      <w:proofErr w:type="spellStart"/>
      <w:r w:rsidR="00C0594A">
        <w:rPr>
          <w:rStyle w:val="RTiSWDocLiteralText"/>
        </w:rPr>
        <w:t>SetStart</w:t>
      </w:r>
      <w:proofErr w:type="spellEnd"/>
      <w:r w:rsidR="00C0594A">
        <w:rPr>
          <w:color w:val="000000"/>
        </w:rPr>
        <w:t xml:space="preserve"> and </w:t>
      </w:r>
      <w:proofErr w:type="spellStart"/>
      <w:r w:rsidR="00C0594A">
        <w:rPr>
          <w:rStyle w:val="RTiSWDocLiteralText"/>
        </w:rPr>
        <w:t>SetEnd</w:t>
      </w:r>
      <w:proofErr w:type="spellEnd"/>
      <w:r w:rsidR="00C0594A">
        <w:rPr>
          <w:color w:val="000000"/>
        </w:rPr>
        <w:t xml:space="preserve"> parameters to be removed from the </w:t>
      </w:r>
      <w:proofErr w:type="spellStart"/>
      <w:proofErr w:type="gramStart"/>
      <w:r w:rsidR="002B1972">
        <w:rPr>
          <w:rStyle w:val="RTiSWDocLiteralText"/>
        </w:rPr>
        <w:t>N</w:t>
      </w:r>
      <w:r w:rsidR="00C0594A">
        <w:rPr>
          <w:rStyle w:val="RTiSWDocLiteralText"/>
        </w:rPr>
        <w:t>ewTimeSeries</w:t>
      </w:r>
      <w:proofErr w:type="spellEnd"/>
      <w:r w:rsidR="00C0594A">
        <w:rPr>
          <w:rStyle w:val="RTiSWDocLiteralText"/>
        </w:rPr>
        <w:t>(</w:t>
      </w:r>
      <w:proofErr w:type="gramEnd"/>
      <w:r w:rsidR="00C0594A">
        <w:rPr>
          <w:rStyle w:val="RTiSWDocLiteralText"/>
        </w:rPr>
        <w:t>)</w:t>
      </w:r>
      <w:r w:rsidR="00C0594A">
        <w:rPr>
          <w:color w:val="000000"/>
        </w:rPr>
        <w:t xml:space="preserve"> command.</w:t>
      </w:r>
    </w:p>
    <w:p w:rsidR="00592F19" w:rsidRDefault="00592F19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8"/>
      </w:tblGrid>
      <w:tr w:rsidR="00C0594A">
        <w:trPr>
          <w:jc w:val="center"/>
        </w:trPr>
        <w:tc>
          <w:tcPr>
            <w:tcW w:w="9288" w:type="dxa"/>
          </w:tcPr>
          <w:p w:rsidR="0092342A" w:rsidRPr="000B2688" w:rsidRDefault="007A669B" w:rsidP="007A6EB8">
            <w:pPr>
              <w:pStyle w:val="PlainText"/>
            </w:pPr>
            <w:r>
              <w:t>#</w:t>
            </w:r>
            <w:proofErr w:type="spellStart"/>
            <w:r w:rsidR="0092342A" w:rsidRPr="000B2688">
              <w:t>SetOutputPeriod</w:t>
            </w:r>
            <w:proofErr w:type="spellEnd"/>
            <w:r w:rsidR="0092342A" w:rsidRPr="000B2688">
              <w:t>(</w:t>
            </w:r>
            <w:proofErr w:type="spellStart"/>
            <w:r w:rsidR="0092342A" w:rsidRPr="000B2688">
              <w:t>OutputStart</w:t>
            </w:r>
            <w:proofErr w:type="spellEnd"/>
            <w:r w:rsidR="0092342A" w:rsidRPr="000B2688">
              <w:t>="1950-01",OutputEnd="2002-12")</w:t>
            </w:r>
          </w:p>
          <w:p w:rsidR="00B70D29" w:rsidRDefault="0092342A" w:rsidP="007A6EB8">
            <w:pPr>
              <w:pStyle w:val="PlainText"/>
            </w:pPr>
            <w:r w:rsidRPr="000B2688">
              <w:t>NewTimeSeries(</w:t>
            </w:r>
            <w:r w:rsidR="00BD02B4">
              <w:t>Alias=”station1”,</w:t>
            </w:r>
            <w:r w:rsidRPr="000B2688">
              <w:t>NewTSID="Station1.MyModel.Streamflow.Month",</w:t>
            </w:r>
          </w:p>
          <w:p w:rsidR="00B70D29" w:rsidRDefault="00B70D29" w:rsidP="007A6EB8">
            <w:pPr>
              <w:pStyle w:val="PlainText"/>
            </w:pPr>
            <w:r>
              <w:t xml:space="preserve">  </w:t>
            </w:r>
            <w:r w:rsidR="0092342A" w:rsidRPr="000B2688">
              <w:t>Description="Example Description",</w:t>
            </w:r>
            <w:proofErr w:type="spellStart"/>
            <w:r w:rsidR="0092342A" w:rsidRPr="000B2688">
              <w:t>SetStart</w:t>
            </w:r>
            <w:proofErr w:type="spellEnd"/>
            <w:r w:rsidR="0092342A" w:rsidRPr="000B2688">
              <w:t>="1950-01",</w:t>
            </w:r>
          </w:p>
          <w:p w:rsidR="00C0594A" w:rsidRPr="005B390B" w:rsidRDefault="00B70D29" w:rsidP="005B390B">
            <w:pPr>
              <w:pStyle w:val="PlainText"/>
            </w:pPr>
            <w:r>
              <w:t xml:space="preserve">  </w:t>
            </w:r>
            <w:proofErr w:type="spellStart"/>
            <w:r w:rsidR="0092342A" w:rsidRPr="000B2688">
              <w:t>SetEnd</w:t>
            </w:r>
            <w:proofErr w:type="spellEnd"/>
            <w:r w:rsidR="0092342A" w:rsidRPr="000B2688">
              <w:t>="2002-12",Units="CFS",</w:t>
            </w:r>
            <w:proofErr w:type="spellStart"/>
            <w:r w:rsidR="0092342A" w:rsidRPr="000B2688">
              <w:t>InitialValue</w:t>
            </w:r>
            <w:proofErr w:type="spellEnd"/>
            <w:r w:rsidR="0092342A" w:rsidRPr="000B2688">
              <w:t>=20)</w:t>
            </w:r>
          </w:p>
        </w:tc>
      </w:tr>
    </w:tbl>
    <w:p w:rsidR="00C0594A" w:rsidRDefault="00C0594A" w:rsidP="00592F19">
      <w:pPr>
        <w:rPr>
          <w:color w:val="000000"/>
        </w:rPr>
      </w:pPr>
    </w:p>
    <w:sectPr w:rsidR="00C059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883" w:rsidRDefault="00D07883">
      <w:r>
        <w:separator/>
      </w:r>
    </w:p>
  </w:endnote>
  <w:endnote w:type="continuationSeparator" w:id="0">
    <w:p w:rsidR="00D07883" w:rsidRDefault="00D07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94A" w:rsidRDefault="00883F4B">
    <w:pPr>
      <w:pStyle w:val="RTiSWDocFooter"/>
    </w:pPr>
    <w:r>
      <w:t xml:space="preserve">Command Reference – </w:t>
    </w:r>
    <w:proofErr w:type="spellStart"/>
    <w:proofErr w:type="gramStart"/>
    <w:r>
      <w:t>N</w:t>
    </w:r>
    <w:r w:rsidR="00C0594A">
      <w:t>ewTimeSeries</w:t>
    </w:r>
    <w:proofErr w:type="spellEnd"/>
    <w:r w:rsidR="00C0594A">
      <w:t>(</w:t>
    </w:r>
    <w:proofErr w:type="gramEnd"/>
    <w:r w:rsidR="00C0594A">
      <w:t xml:space="preserve">) - </w:t>
    </w:r>
    <w:r w:rsidR="00C0594A">
      <w:fldChar w:fldCharType="begin"/>
    </w:r>
    <w:r w:rsidR="00C0594A">
      <w:instrText xml:space="preserve"> PAGE </w:instrText>
    </w:r>
    <w:r w:rsidR="00C0594A">
      <w:fldChar w:fldCharType="separate"/>
    </w:r>
    <w:r w:rsidR="00592F19">
      <w:rPr>
        <w:noProof/>
      </w:rPr>
      <w:t>2</w:t>
    </w:r>
    <w:r w:rsidR="00C059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94A" w:rsidRDefault="00C0594A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fillRegression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592F19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94A" w:rsidRDefault="00C0594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883F4B">
      <w:t>N</w:t>
    </w:r>
    <w:r>
      <w:t>ewTimeSeries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592F1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883" w:rsidRDefault="00D07883">
      <w:r>
        <w:separator/>
      </w:r>
    </w:p>
  </w:footnote>
  <w:footnote w:type="continuationSeparator" w:id="0">
    <w:p w:rsidR="00D07883" w:rsidRDefault="00D07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94A" w:rsidRDefault="00883F4B">
    <w:pPr>
      <w:pStyle w:val="RTiSWDocHeader"/>
    </w:pPr>
    <w:proofErr w:type="spellStart"/>
    <w:proofErr w:type="gramStart"/>
    <w:r>
      <w:t>N</w:t>
    </w:r>
    <w:r w:rsidR="00C0594A">
      <w:t>ewTimeSeries</w:t>
    </w:r>
    <w:proofErr w:type="spellEnd"/>
    <w:r w:rsidR="00C0594A">
      <w:t>(</w:t>
    </w:r>
    <w:proofErr w:type="gramEnd"/>
    <w:r w:rsidR="00C0594A">
      <w:t>) Command</w:t>
    </w:r>
    <w:r w:rsidR="00C0594A">
      <w:tab/>
    </w:r>
    <w:r w:rsidR="00C0594A">
      <w:tab/>
    </w:r>
    <w:proofErr w:type="spellStart"/>
    <w:r w:rsidR="00C0594A">
      <w:t>TSTool</w:t>
    </w:r>
    <w:proofErr w:type="spellEnd"/>
    <w:r w:rsidR="00C0594A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94A" w:rsidRDefault="00C0594A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fillRegression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94A" w:rsidRDefault="00C0594A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B04EF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7BCA2B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7F88E1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167B1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82C744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3A96C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320F85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A8F04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9E81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A57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01F1FB7"/>
    <w:multiLevelType w:val="hybridMultilevel"/>
    <w:tmpl w:val="B12EC0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F4B"/>
    <w:rsid w:val="000E41A5"/>
    <w:rsid w:val="00152B70"/>
    <w:rsid w:val="0017700B"/>
    <w:rsid w:val="001B58C3"/>
    <w:rsid w:val="002B1972"/>
    <w:rsid w:val="002D4D99"/>
    <w:rsid w:val="002E4943"/>
    <w:rsid w:val="004023B9"/>
    <w:rsid w:val="00571651"/>
    <w:rsid w:val="00592F19"/>
    <w:rsid w:val="005B390B"/>
    <w:rsid w:val="005F6E99"/>
    <w:rsid w:val="0065090C"/>
    <w:rsid w:val="0068259D"/>
    <w:rsid w:val="007A669B"/>
    <w:rsid w:val="007A6EB8"/>
    <w:rsid w:val="00844E15"/>
    <w:rsid w:val="00870270"/>
    <w:rsid w:val="00883F4B"/>
    <w:rsid w:val="00884024"/>
    <w:rsid w:val="0092342A"/>
    <w:rsid w:val="00993E9F"/>
    <w:rsid w:val="009F6874"/>
    <w:rsid w:val="00B70D29"/>
    <w:rsid w:val="00BD02B4"/>
    <w:rsid w:val="00C0594A"/>
    <w:rsid w:val="00CE3B34"/>
    <w:rsid w:val="00D07883"/>
    <w:rsid w:val="00DC556A"/>
    <w:rsid w:val="00E24314"/>
    <w:rsid w:val="00E4654E"/>
    <w:rsid w:val="00F35801"/>
    <w:rsid w:val="00FC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2F4DCF-F0BA-4CBE-AAFB-B7C2C0C0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870270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870270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92342A"/>
    <w:rPr>
      <w:color w:val="800080"/>
      <w:u w:val="single"/>
    </w:rPr>
  </w:style>
  <w:style w:type="paragraph" w:styleId="PlainText">
    <w:name w:val="Plain Text"/>
    <w:basedOn w:val="Normal"/>
    <w:rsid w:val="0092342A"/>
    <w:rPr>
      <w:rFonts w:ascii="Courier New" w:hAnsi="Courier New" w:cs="Courier New"/>
      <w:sz w:val="20"/>
    </w:rPr>
  </w:style>
  <w:style w:type="paragraph" w:styleId="BalloonText">
    <w:name w:val="Balloon Text"/>
    <w:basedOn w:val="Normal"/>
    <w:semiHidden/>
    <w:rsid w:val="002E494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2E4943"/>
    <w:pPr>
      <w:spacing w:after="120"/>
      <w:ind w:left="1440" w:right="1440"/>
    </w:pPr>
  </w:style>
  <w:style w:type="paragraph" w:styleId="BodyText">
    <w:name w:val="Body Text"/>
    <w:basedOn w:val="Normal"/>
    <w:rsid w:val="002E4943"/>
    <w:pPr>
      <w:spacing w:after="120"/>
    </w:pPr>
  </w:style>
  <w:style w:type="paragraph" w:styleId="BodyText2">
    <w:name w:val="Body Text 2"/>
    <w:basedOn w:val="Normal"/>
    <w:rsid w:val="002E4943"/>
    <w:pPr>
      <w:spacing w:after="120" w:line="480" w:lineRule="auto"/>
    </w:pPr>
  </w:style>
  <w:style w:type="paragraph" w:styleId="BodyText3">
    <w:name w:val="Body Text 3"/>
    <w:basedOn w:val="Normal"/>
    <w:rsid w:val="002E4943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2E4943"/>
    <w:pPr>
      <w:ind w:firstLine="210"/>
    </w:pPr>
  </w:style>
  <w:style w:type="paragraph" w:styleId="BodyTextIndent">
    <w:name w:val="Body Text Indent"/>
    <w:basedOn w:val="Normal"/>
    <w:rsid w:val="002E4943"/>
    <w:pPr>
      <w:spacing w:after="120"/>
      <w:ind w:left="360"/>
    </w:pPr>
  </w:style>
  <w:style w:type="paragraph" w:styleId="BodyTextFirstIndent2">
    <w:name w:val="Body Text First Indent 2"/>
    <w:basedOn w:val="BodyTextIndent"/>
    <w:rsid w:val="002E4943"/>
    <w:pPr>
      <w:ind w:firstLine="210"/>
    </w:pPr>
  </w:style>
  <w:style w:type="paragraph" w:styleId="BodyTextIndent2">
    <w:name w:val="Body Text Indent 2"/>
    <w:basedOn w:val="Normal"/>
    <w:rsid w:val="002E4943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2E4943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2E4943"/>
    <w:rPr>
      <w:b/>
      <w:bCs/>
      <w:sz w:val="20"/>
    </w:rPr>
  </w:style>
  <w:style w:type="paragraph" w:styleId="Closing">
    <w:name w:val="Closing"/>
    <w:basedOn w:val="Normal"/>
    <w:rsid w:val="002E4943"/>
    <w:pPr>
      <w:ind w:left="4320"/>
    </w:pPr>
  </w:style>
  <w:style w:type="paragraph" w:styleId="CommentText">
    <w:name w:val="annotation text"/>
    <w:basedOn w:val="Normal"/>
    <w:semiHidden/>
    <w:rsid w:val="002E4943"/>
    <w:rPr>
      <w:sz w:val="20"/>
    </w:rPr>
  </w:style>
  <w:style w:type="paragraph" w:styleId="CommentSubject">
    <w:name w:val="annotation subject"/>
    <w:basedOn w:val="CommentText"/>
    <w:next w:val="CommentText"/>
    <w:semiHidden/>
    <w:rsid w:val="002E4943"/>
    <w:rPr>
      <w:b/>
      <w:bCs/>
    </w:rPr>
  </w:style>
  <w:style w:type="paragraph" w:styleId="Date">
    <w:name w:val="Date"/>
    <w:basedOn w:val="Normal"/>
    <w:next w:val="Normal"/>
    <w:rsid w:val="002E4943"/>
  </w:style>
  <w:style w:type="paragraph" w:styleId="DocumentMap">
    <w:name w:val="Document Map"/>
    <w:basedOn w:val="Normal"/>
    <w:semiHidden/>
    <w:rsid w:val="002E4943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2E4943"/>
  </w:style>
  <w:style w:type="paragraph" w:styleId="EndnoteText">
    <w:name w:val="endnote text"/>
    <w:basedOn w:val="Normal"/>
    <w:semiHidden/>
    <w:rsid w:val="002E4943"/>
    <w:rPr>
      <w:sz w:val="20"/>
    </w:rPr>
  </w:style>
  <w:style w:type="paragraph" w:styleId="EnvelopeAddress">
    <w:name w:val="envelope address"/>
    <w:basedOn w:val="Normal"/>
    <w:rsid w:val="002E494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2E4943"/>
    <w:rPr>
      <w:rFonts w:ascii="Arial" w:hAnsi="Arial" w:cs="Arial"/>
      <w:sz w:val="20"/>
    </w:rPr>
  </w:style>
  <w:style w:type="paragraph" w:styleId="Footer">
    <w:name w:val="footer"/>
    <w:basedOn w:val="Normal"/>
    <w:rsid w:val="002E4943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2E4943"/>
    <w:rPr>
      <w:sz w:val="20"/>
    </w:rPr>
  </w:style>
  <w:style w:type="paragraph" w:styleId="Header">
    <w:name w:val="header"/>
    <w:basedOn w:val="Normal"/>
    <w:rsid w:val="002E4943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2E4943"/>
    <w:rPr>
      <w:i/>
      <w:iCs/>
    </w:rPr>
  </w:style>
  <w:style w:type="paragraph" w:styleId="HTMLPreformatted">
    <w:name w:val="HTML Preformatted"/>
    <w:basedOn w:val="Normal"/>
    <w:rsid w:val="002E4943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2E4943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2E4943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2E4943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2E4943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2E4943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2E4943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2E4943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2E4943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2E4943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2E4943"/>
    <w:rPr>
      <w:rFonts w:ascii="Arial" w:hAnsi="Arial" w:cs="Arial"/>
      <w:b/>
      <w:bCs/>
    </w:rPr>
  </w:style>
  <w:style w:type="paragraph" w:styleId="List">
    <w:name w:val="List"/>
    <w:basedOn w:val="Normal"/>
    <w:rsid w:val="002E4943"/>
    <w:pPr>
      <w:ind w:left="360" w:hanging="360"/>
    </w:pPr>
  </w:style>
  <w:style w:type="paragraph" w:styleId="List2">
    <w:name w:val="List 2"/>
    <w:basedOn w:val="Normal"/>
    <w:rsid w:val="002E4943"/>
    <w:pPr>
      <w:ind w:left="720" w:hanging="360"/>
    </w:pPr>
  </w:style>
  <w:style w:type="paragraph" w:styleId="List3">
    <w:name w:val="List 3"/>
    <w:basedOn w:val="Normal"/>
    <w:rsid w:val="002E4943"/>
    <w:pPr>
      <w:ind w:left="1080" w:hanging="360"/>
    </w:pPr>
  </w:style>
  <w:style w:type="paragraph" w:styleId="List4">
    <w:name w:val="List 4"/>
    <w:basedOn w:val="Normal"/>
    <w:rsid w:val="002E4943"/>
    <w:pPr>
      <w:ind w:left="1440" w:hanging="360"/>
    </w:pPr>
  </w:style>
  <w:style w:type="paragraph" w:styleId="List5">
    <w:name w:val="List 5"/>
    <w:basedOn w:val="Normal"/>
    <w:rsid w:val="002E4943"/>
    <w:pPr>
      <w:ind w:left="1800" w:hanging="360"/>
    </w:pPr>
  </w:style>
  <w:style w:type="paragraph" w:styleId="ListBullet">
    <w:name w:val="List Bullet"/>
    <w:basedOn w:val="Normal"/>
    <w:rsid w:val="002E4943"/>
    <w:pPr>
      <w:numPr>
        <w:numId w:val="1"/>
      </w:numPr>
    </w:pPr>
  </w:style>
  <w:style w:type="paragraph" w:styleId="ListBullet2">
    <w:name w:val="List Bullet 2"/>
    <w:basedOn w:val="Normal"/>
    <w:rsid w:val="002E4943"/>
    <w:pPr>
      <w:numPr>
        <w:numId w:val="2"/>
      </w:numPr>
    </w:pPr>
  </w:style>
  <w:style w:type="paragraph" w:styleId="ListBullet3">
    <w:name w:val="List Bullet 3"/>
    <w:basedOn w:val="Normal"/>
    <w:rsid w:val="002E4943"/>
    <w:pPr>
      <w:numPr>
        <w:numId w:val="3"/>
      </w:numPr>
    </w:pPr>
  </w:style>
  <w:style w:type="paragraph" w:styleId="ListBullet4">
    <w:name w:val="List Bullet 4"/>
    <w:basedOn w:val="Normal"/>
    <w:rsid w:val="002E4943"/>
    <w:pPr>
      <w:numPr>
        <w:numId w:val="4"/>
      </w:numPr>
    </w:pPr>
  </w:style>
  <w:style w:type="paragraph" w:styleId="ListBullet5">
    <w:name w:val="List Bullet 5"/>
    <w:basedOn w:val="Normal"/>
    <w:rsid w:val="002E4943"/>
    <w:pPr>
      <w:numPr>
        <w:numId w:val="5"/>
      </w:numPr>
    </w:pPr>
  </w:style>
  <w:style w:type="paragraph" w:styleId="ListContinue">
    <w:name w:val="List Continue"/>
    <w:basedOn w:val="Normal"/>
    <w:rsid w:val="002E4943"/>
    <w:pPr>
      <w:spacing w:after="120"/>
      <w:ind w:left="360"/>
    </w:pPr>
  </w:style>
  <w:style w:type="paragraph" w:styleId="ListContinue2">
    <w:name w:val="List Continue 2"/>
    <w:basedOn w:val="Normal"/>
    <w:rsid w:val="002E4943"/>
    <w:pPr>
      <w:spacing w:after="120"/>
      <w:ind w:left="720"/>
    </w:pPr>
  </w:style>
  <w:style w:type="paragraph" w:styleId="ListContinue3">
    <w:name w:val="List Continue 3"/>
    <w:basedOn w:val="Normal"/>
    <w:rsid w:val="002E4943"/>
    <w:pPr>
      <w:spacing w:after="120"/>
      <w:ind w:left="1080"/>
    </w:pPr>
  </w:style>
  <w:style w:type="paragraph" w:styleId="ListContinue4">
    <w:name w:val="List Continue 4"/>
    <w:basedOn w:val="Normal"/>
    <w:rsid w:val="002E4943"/>
    <w:pPr>
      <w:spacing w:after="120"/>
      <w:ind w:left="1440"/>
    </w:pPr>
  </w:style>
  <w:style w:type="paragraph" w:styleId="ListContinue5">
    <w:name w:val="List Continue 5"/>
    <w:basedOn w:val="Normal"/>
    <w:rsid w:val="002E4943"/>
    <w:pPr>
      <w:spacing w:after="120"/>
      <w:ind w:left="1800"/>
    </w:pPr>
  </w:style>
  <w:style w:type="paragraph" w:styleId="ListNumber">
    <w:name w:val="List Number"/>
    <w:basedOn w:val="Normal"/>
    <w:rsid w:val="002E4943"/>
    <w:pPr>
      <w:numPr>
        <w:numId w:val="6"/>
      </w:numPr>
    </w:pPr>
  </w:style>
  <w:style w:type="paragraph" w:styleId="ListNumber2">
    <w:name w:val="List Number 2"/>
    <w:basedOn w:val="Normal"/>
    <w:rsid w:val="002E4943"/>
    <w:pPr>
      <w:numPr>
        <w:numId w:val="7"/>
      </w:numPr>
    </w:pPr>
  </w:style>
  <w:style w:type="paragraph" w:styleId="ListNumber3">
    <w:name w:val="List Number 3"/>
    <w:basedOn w:val="Normal"/>
    <w:rsid w:val="002E4943"/>
    <w:pPr>
      <w:numPr>
        <w:numId w:val="8"/>
      </w:numPr>
    </w:pPr>
  </w:style>
  <w:style w:type="paragraph" w:styleId="ListNumber4">
    <w:name w:val="List Number 4"/>
    <w:basedOn w:val="Normal"/>
    <w:rsid w:val="002E4943"/>
    <w:pPr>
      <w:numPr>
        <w:numId w:val="9"/>
      </w:numPr>
    </w:pPr>
  </w:style>
  <w:style w:type="paragraph" w:styleId="ListNumber5">
    <w:name w:val="List Number 5"/>
    <w:basedOn w:val="Normal"/>
    <w:rsid w:val="002E4943"/>
    <w:pPr>
      <w:numPr>
        <w:numId w:val="10"/>
      </w:numPr>
    </w:pPr>
  </w:style>
  <w:style w:type="paragraph" w:styleId="MacroText">
    <w:name w:val="macro"/>
    <w:semiHidden/>
    <w:rsid w:val="002E49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2E49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2E4943"/>
    <w:rPr>
      <w:sz w:val="24"/>
      <w:szCs w:val="24"/>
    </w:rPr>
  </w:style>
  <w:style w:type="paragraph" w:styleId="NormalIndent">
    <w:name w:val="Normal Indent"/>
    <w:basedOn w:val="Normal"/>
    <w:rsid w:val="002E4943"/>
    <w:pPr>
      <w:ind w:left="720"/>
    </w:pPr>
  </w:style>
  <w:style w:type="paragraph" w:styleId="NoteHeading">
    <w:name w:val="Note Heading"/>
    <w:basedOn w:val="Normal"/>
    <w:next w:val="Normal"/>
    <w:rsid w:val="002E4943"/>
  </w:style>
  <w:style w:type="paragraph" w:styleId="Salutation">
    <w:name w:val="Salutation"/>
    <w:basedOn w:val="Normal"/>
    <w:next w:val="Normal"/>
    <w:rsid w:val="002E4943"/>
  </w:style>
  <w:style w:type="paragraph" w:styleId="Signature">
    <w:name w:val="Signature"/>
    <w:basedOn w:val="Normal"/>
    <w:rsid w:val="002E4943"/>
    <w:pPr>
      <w:ind w:left="4320"/>
    </w:pPr>
  </w:style>
  <w:style w:type="paragraph" w:styleId="Subtitle">
    <w:name w:val="Subtitle"/>
    <w:basedOn w:val="Normal"/>
    <w:qFormat/>
    <w:rsid w:val="002E494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2E4943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2E4943"/>
  </w:style>
  <w:style w:type="paragraph" w:styleId="Title">
    <w:name w:val="Title"/>
    <w:basedOn w:val="Normal"/>
    <w:qFormat/>
    <w:rsid w:val="002E494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2E494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2E4943"/>
  </w:style>
  <w:style w:type="paragraph" w:styleId="TOC2">
    <w:name w:val="toc 2"/>
    <w:basedOn w:val="Normal"/>
    <w:next w:val="Normal"/>
    <w:autoRedefine/>
    <w:semiHidden/>
    <w:rsid w:val="002E4943"/>
    <w:pPr>
      <w:ind w:left="220"/>
    </w:pPr>
  </w:style>
  <w:style w:type="paragraph" w:styleId="TOC3">
    <w:name w:val="toc 3"/>
    <w:basedOn w:val="Normal"/>
    <w:next w:val="Normal"/>
    <w:autoRedefine/>
    <w:semiHidden/>
    <w:rsid w:val="002E4943"/>
    <w:pPr>
      <w:ind w:left="440"/>
    </w:pPr>
  </w:style>
  <w:style w:type="paragraph" w:styleId="TOC4">
    <w:name w:val="toc 4"/>
    <w:basedOn w:val="Normal"/>
    <w:next w:val="Normal"/>
    <w:autoRedefine/>
    <w:semiHidden/>
    <w:rsid w:val="002E4943"/>
    <w:pPr>
      <w:ind w:left="660"/>
    </w:pPr>
  </w:style>
  <w:style w:type="paragraph" w:styleId="TOC5">
    <w:name w:val="toc 5"/>
    <w:basedOn w:val="Normal"/>
    <w:next w:val="Normal"/>
    <w:autoRedefine/>
    <w:semiHidden/>
    <w:rsid w:val="002E4943"/>
    <w:pPr>
      <w:ind w:left="880"/>
    </w:pPr>
  </w:style>
  <w:style w:type="paragraph" w:styleId="TOC6">
    <w:name w:val="toc 6"/>
    <w:basedOn w:val="Normal"/>
    <w:next w:val="Normal"/>
    <w:autoRedefine/>
    <w:semiHidden/>
    <w:rsid w:val="002E4943"/>
    <w:pPr>
      <w:ind w:left="1100"/>
    </w:pPr>
  </w:style>
  <w:style w:type="paragraph" w:styleId="TOC7">
    <w:name w:val="toc 7"/>
    <w:basedOn w:val="Normal"/>
    <w:next w:val="Normal"/>
    <w:autoRedefine/>
    <w:semiHidden/>
    <w:rsid w:val="002E4943"/>
    <w:pPr>
      <w:ind w:left="1320"/>
    </w:pPr>
  </w:style>
  <w:style w:type="paragraph" w:styleId="TOC8">
    <w:name w:val="toc 8"/>
    <w:basedOn w:val="Normal"/>
    <w:next w:val="Normal"/>
    <w:autoRedefine/>
    <w:semiHidden/>
    <w:rsid w:val="002E4943"/>
    <w:pPr>
      <w:ind w:left="1540"/>
    </w:pPr>
  </w:style>
  <w:style w:type="paragraph" w:styleId="TOC9">
    <w:name w:val="toc 9"/>
    <w:basedOn w:val="Normal"/>
    <w:next w:val="Normal"/>
    <w:autoRedefine/>
    <w:semiHidden/>
    <w:rsid w:val="002E4943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3</cp:revision>
  <cp:lastPrinted>2004-02-15T20:50:00Z</cp:lastPrinted>
  <dcterms:created xsi:type="dcterms:W3CDTF">2015-06-02T05:54:00Z</dcterms:created>
  <dcterms:modified xsi:type="dcterms:W3CDTF">2015-06-02T06:02:00Z</dcterms:modified>
</cp:coreProperties>
</file>