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7EB2" w:rsidRDefault="00147EB2">
      <w:pPr>
        <w:pStyle w:val="RTiSWDocChapterTitle"/>
      </w:pPr>
      <w:r>
        <w:t xml:space="preserve">Command Reference: </w:t>
      </w:r>
      <w:r w:rsidR="004E3E79">
        <w:t xml:space="preserve"> </w:t>
      </w:r>
      <w:proofErr w:type="spellStart"/>
      <w:proofErr w:type="gramStart"/>
      <w:r w:rsidR="004E3E79">
        <w:t>R</w:t>
      </w:r>
      <w:r>
        <w:t>eadTimeSeries</w:t>
      </w:r>
      <w:proofErr w:type="spellEnd"/>
      <w:r>
        <w:t>()</w:t>
      </w:r>
      <w:proofErr w:type="gramEnd"/>
    </w:p>
    <w:p w:rsidR="00147EB2" w:rsidRDefault="00147EB2">
      <w:pPr>
        <w:pStyle w:val="RTiSWDocChapterSubtitle"/>
      </w:pPr>
      <w:bookmarkStart w:id="0" w:name="tsx_readDateValue"/>
      <w:r>
        <w:t xml:space="preserve">Read a </w:t>
      </w:r>
      <w:r w:rsidR="004E3E79">
        <w:t>s</w:t>
      </w:r>
      <w:r>
        <w:t xml:space="preserve">ingle </w:t>
      </w:r>
      <w:r w:rsidR="004E3E79">
        <w:t>t</w:t>
      </w:r>
      <w:r>
        <w:t xml:space="preserve">ime </w:t>
      </w:r>
      <w:r w:rsidR="004E3E79">
        <w:t>s</w:t>
      </w:r>
      <w:r>
        <w:t xml:space="preserve">eries </w:t>
      </w:r>
      <w:bookmarkEnd w:id="0"/>
      <w:r w:rsidR="004E3E79">
        <w:t>using a full time series identifier</w:t>
      </w:r>
    </w:p>
    <w:p w:rsidR="00147EB2" w:rsidRDefault="00147EB2">
      <w:pPr>
        <w:pStyle w:val="RTiSWDocNote"/>
      </w:pPr>
      <w:r>
        <w:t xml:space="preserve">Version </w:t>
      </w:r>
      <w:r w:rsidR="00D92F33">
        <w:t>1</w:t>
      </w:r>
      <w:r w:rsidR="00502C0F">
        <w:t>1</w:t>
      </w:r>
      <w:r>
        <w:t>.</w:t>
      </w:r>
      <w:r w:rsidR="00502C0F">
        <w:t>07</w:t>
      </w:r>
      <w:r>
        <w:t>.0</w:t>
      </w:r>
      <w:r w:rsidR="00502C0F">
        <w:t>3</w:t>
      </w:r>
      <w:r>
        <w:t>, 20</w:t>
      </w:r>
      <w:r w:rsidR="00D92F33">
        <w:t>1</w:t>
      </w:r>
      <w:r w:rsidR="00502C0F">
        <w:t>5</w:t>
      </w:r>
      <w:r>
        <w:t>-0</w:t>
      </w:r>
      <w:r w:rsidR="00502C0F">
        <w:t>9</w:t>
      </w:r>
      <w:r>
        <w:t>-</w:t>
      </w:r>
      <w:r w:rsidR="00897010">
        <w:t>1</w:t>
      </w:r>
      <w:r w:rsidR="00502C0F">
        <w:t>5</w:t>
      </w:r>
    </w:p>
    <w:p w:rsidR="00147EB2" w:rsidRDefault="00147EB2">
      <w:pPr>
        <w:rPr>
          <w:b/>
        </w:rPr>
      </w:pPr>
    </w:p>
    <w:p w:rsidR="004E3E79" w:rsidRDefault="00147EB2">
      <w:r>
        <w:t xml:space="preserve">The </w:t>
      </w:r>
      <w:proofErr w:type="spellStart"/>
      <w:proofErr w:type="gramStart"/>
      <w:r w:rsidR="004E3E79">
        <w:rPr>
          <w:rStyle w:val="RTiSWDocLiteralText"/>
        </w:rPr>
        <w:t>R</w:t>
      </w:r>
      <w:r>
        <w:rPr>
          <w:rStyle w:val="RTiSWDocLiteralText"/>
        </w:rPr>
        <w:t>eadTimeSeries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>read</w:t>
      </w:r>
      <w:r w:rsidR="00995FEC">
        <w:t>s</w:t>
      </w:r>
      <w:r>
        <w:t xml:space="preserve"> a single time series</w:t>
      </w:r>
      <w:r w:rsidR="00D92F33">
        <w:t xml:space="preserve"> using the time series identifier to uniquely identify the time series</w:t>
      </w:r>
      <w:r>
        <w:t xml:space="preserve">.  This generalized command is useful for converting time series identifiers from the </w:t>
      </w:r>
      <w:proofErr w:type="spellStart"/>
      <w:r>
        <w:t>TSTool</w:t>
      </w:r>
      <w:proofErr w:type="spellEnd"/>
      <w:r>
        <w:t xml:space="preserve"> interface into read commands that assign an alias to a time series.  Because the command is generic, it does not offer specific parameters that may be found in read commands for specific input types.  Use the specifi</w:t>
      </w:r>
      <w:r w:rsidR="004E3E79">
        <w:t>c read commands where available for additional functionality and more specific error handling.</w:t>
      </w:r>
      <w:r w:rsidR="00897010">
        <w:t xml:space="preserve">  See also the </w:t>
      </w:r>
      <w:proofErr w:type="spellStart"/>
      <w:proofErr w:type="gramStart"/>
      <w:r w:rsidR="00897010" w:rsidRPr="00502C0F">
        <w:rPr>
          <w:rStyle w:val="RTiSWDocLiteralText"/>
        </w:rPr>
        <w:t>ReadTimeSeriesList</w:t>
      </w:r>
      <w:proofErr w:type="spellEnd"/>
      <w:r w:rsidR="00897010" w:rsidRPr="00502C0F">
        <w:rPr>
          <w:rStyle w:val="RTiSWDocLiteralText"/>
        </w:rPr>
        <w:t>(</w:t>
      </w:r>
      <w:proofErr w:type="gramEnd"/>
      <w:r w:rsidR="00897010" w:rsidRPr="00502C0F">
        <w:rPr>
          <w:rStyle w:val="RTiSWDocLiteralText"/>
        </w:rPr>
        <w:t>)</w:t>
      </w:r>
      <w:r w:rsidR="00897010">
        <w:t xml:space="preserve"> command.</w:t>
      </w:r>
    </w:p>
    <w:p w:rsidR="004E3E79" w:rsidRDefault="004E3E79"/>
    <w:p w:rsidR="00147EB2" w:rsidRDefault="00147EB2">
      <w:r>
        <w:t>The following dialog is used to edit the command and illustrates the syntax of the command.</w:t>
      </w:r>
    </w:p>
    <w:p w:rsidR="00147EB2" w:rsidRDefault="00147EB2"/>
    <w:p w:rsidR="00147EB2" w:rsidRDefault="00502C0F">
      <w:pPr>
        <w:jc w:val="center"/>
      </w:pPr>
      <w:r>
        <w:rPr>
          <w:noProof/>
        </w:rPr>
        <w:drawing>
          <wp:inline distT="0" distB="0" distL="0" distR="0">
            <wp:extent cx="5943600" cy="2472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47EB2" w:rsidRDefault="004E3E79">
      <w:pPr>
        <w:pStyle w:val="RTiSWDocNote"/>
      </w:pPr>
      <w:proofErr w:type="spellStart"/>
      <w:r>
        <w:t>R</w:t>
      </w:r>
      <w:r w:rsidR="00147EB2">
        <w:t>eadTimeSeies</w:t>
      </w:r>
      <w:proofErr w:type="spellEnd"/>
    </w:p>
    <w:p w:rsidR="00147EB2" w:rsidRDefault="004E3E79">
      <w:pPr>
        <w:pStyle w:val="RTiSWDocFigureTableTitle"/>
      </w:pPr>
      <w:proofErr w:type="spellStart"/>
      <w:proofErr w:type="gramStart"/>
      <w:r>
        <w:t>R</w:t>
      </w:r>
      <w:r w:rsidR="00147EB2">
        <w:t>eadTimeSeries</w:t>
      </w:r>
      <w:proofErr w:type="spellEnd"/>
      <w:r w:rsidR="00147EB2">
        <w:t>(</w:t>
      </w:r>
      <w:proofErr w:type="gramEnd"/>
      <w:r w:rsidR="00147EB2">
        <w:t>) Command Editor</w:t>
      </w:r>
    </w:p>
    <w:p w:rsidR="00147EB2" w:rsidRDefault="00147EB2">
      <w:pPr>
        <w:numPr>
          <w:ilvl w:val="12"/>
          <w:numId w:val="0"/>
        </w:numPr>
      </w:pPr>
    </w:p>
    <w:p w:rsidR="00147EB2" w:rsidRDefault="004E3E79">
      <w:bookmarkStart w:id="2" w:name="replaceValue"/>
      <w:r>
        <w:br w:type="page"/>
      </w:r>
      <w:r w:rsidR="00147EB2">
        <w:lastRenderedPageBreak/>
        <w:t>The command syntax is as follows:</w:t>
      </w:r>
    </w:p>
    <w:p w:rsidR="00147EB2" w:rsidRDefault="00147EB2"/>
    <w:p w:rsidR="00147EB2" w:rsidRDefault="004E3E7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47EB2">
        <w:rPr>
          <w:rStyle w:val="RTiSWDocLiteralText"/>
        </w:rPr>
        <w:t>eadTimeSeries</w:t>
      </w:r>
      <w:proofErr w:type="spellEnd"/>
      <w:r w:rsidR="00147EB2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147EB2">
        <w:rPr>
          <w:rStyle w:val="RTiSWDocLiteralText"/>
        </w:rPr>
        <w:t>)</w:t>
      </w:r>
    </w:p>
    <w:p w:rsidR="00147EB2" w:rsidRDefault="00147EB2"/>
    <w:p w:rsidR="002C72AD" w:rsidRDefault="002C72AD" w:rsidP="002C72AD">
      <w:r>
        <w:t>The following older command syntax is updated to the above syntax when a command file is read:</w:t>
      </w:r>
    </w:p>
    <w:p w:rsidR="002C72AD" w:rsidRDefault="002C72AD" w:rsidP="002C72AD"/>
    <w:p w:rsidR="002C72AD" w:rsidRDefault="002C72AD" w:rsidP="002C72AD">
      <w:pPr>
        <w:ind w:left="720"/>
        <w:rPr>
          <w:rStyle w:val="RTiSWDocLiteralText"/>
        </w:rPr>
      </w:pPr>
      <w:r>
        <w:rPr>
          <w:rStyle w:val="RTiSWDocLiteralText"/>
        </w:rPr>
        <w:t xml:space="preserve">TS Alias = </w:t>
      </w:r>
      <w:proofErr w:type="spellStart"/>
      <w:r>
        <w:rPr>
          <w:rStyle w:val="RTiSWDocLiteralText"/>
        </w:rPr>
        <w:t>ReadTimeSeries</w:t>
      </w:r>
      <w:proofErr w:type="spellEnd"/>
      <w:r>
        <w:rPr>
          <w:rStyle w:val="RTiSWDocLiteralText"/>
        </w:rPr>
        <w:t xml:space="preserve"> (Parameter=Value</w:t>
      </w:r>
      <w:proofErr w:type="gramStart"/>
      <w:r>
        <w:rPr>
          <w:rStyle w:val="RTiSWDocLiteralText"/>
        </w:rPr>
        <w:t>,…</w:t>
      </w:r>
      <w:proofErr w:type="gramEnd"/>
      <w:r>
        <w:rPr>
          <w:rStyle w:val="RTiSWDocLiteralText"/>
        </w:rPr>
        <w:t>)</w:t>
      </w:r>
    </w:p>
    <w:p w:rsidR="002C72AD" w:rsidRDefault="002C72AD"/>
    <w:p w:rsidR="00147EB2" w:rsidRDefault="00147EB2">
      <w:pPr>
        <w:pStyle w:val="RTiSWDocFigureTableTitle"/>
      </w:pPr>
      <w:r>
        <w:t>Command Parameters</w:t>
      </w:r>
    </w:p>
    <w:p w:rsidR="00147EB2" w:rsidRDefault="00147EB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882"/>
        <w:gridCol w:w="3192"/>
      </w:tblGrid>
      <w:tr w:rsidR="00147EB2">
        <w:trPr>
          <w:jc w:val="center"/>
        </w:trPr>
        <w:tc>
          <w:tcPr>
            <w:tcW w:w="1854" w:type="dxa"/>
            <w:shd w:val="clear" w:color="auto" w:fill="C0C0C0"/>
          </w:tcPr>
          <w:p w:rsidR="00147EB2" w:rsidRDefault="00147EB2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47EB2" w:rsidRDefault="00147EB2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47EB2" w:rsidRDefault="00147EB2">
            <w:pPr>
              <w:pStyle w:val="RTiSWDocTableHeading"/>
            </w:pPr>
            <w:r>
              <w:t>Default</w:t>
            </w:r>
          </w:p>
        </w:tc>
      </w:tr>
      <w:tr w:rsidR="00147EB2">
        <w:trPr>
          <w:jc w:val="center"/>
        </w:trPr>
        <w:tc>
          <w:tcPr>
            <w:tcW w:w="1854" w:type="dxa"/>
          </w:tcPr>
          <w:p w:rsidR="00147EB2" w:rsidRDefault="00147E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3882" w:type="dxa"/>
          </w:tcPr>
          <w:p w:rsidR="00147EB2" w:rsidRDefault="00147EB2">
            <w:r>
              <w:t>The time series identifier of the time series to read.  The identifier should include the input type (and input name</w:t>
            </w:r>
            <w:r w:rsidR="004E3E79">
              <w:t>,</w:t>
            </w:r>
            <w:r>
              <w:t xml:space="preserve"> if required</w:t>
            </w:r>
            <w:r w:rsidR="004E3E79">
              <w:t>)</w:t>
            </w:r>
            <w:r>
              <w:t>.  See the input type appendices for examples of time series identifiers for various input types.</w:t>
            </w:r>
            <w:r w:rsidR="00502C0F">
              <w:t xml:space="preserve">  Can be specified using </w:t>
            </w:r>
            <w:r w:rsidR="00502C0F" w:rsidRPr="00502C0F">
              <w:rPr>
                <w:rStyle w:val="RTiSWDocLiteralText"/>
              </w:rPr>
              <w:t>${Property}</w:t>
            </w:r>
            <w:r w:rsidR="00502C0F">
              <w:t xml:space="preserve"> notation.</w:t>
            </w:r>
          </w:p>
        </w:tc>
        <w:tc>
          <w:tcPr>
            <w:tcW w:w="3192" w:type="dxa"/>
          </w:tcPr>
          <w:p w:rsidR="00147EB2" w:rsidRDefault="00147EB2">
            <w:r>
              <w:t>None – must be specified.</w:t>
            </w:r>
          </w:p>
        </w:tc>
      </w:tr>
      <w:tr w:rsidR="002C72AD">
        <w:trPr>
          <w:jc w:val="center"/>
        </w:trPr>
        <w:tc>
          <w:tcPr>
            <w:tcW w:w="1854" w:type="dxa"/>
          </w:tcPr>
          <w:p w:rsidR="002C72AD" w:rsidRDefault="002C72AD" w:rsidP="001F28B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3882" w:type="dxa"/>
          </w:tcPr>
          <w:p w:rsidR="002C72AD" w:rsidRDefault="002C72AD" w:rsidP="001F28BE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3192" w:type="dxa"/>
          </w:tcPr>
          <w:p w:rsidR="002C72AD" w:rsidRDefault="002C72AD" w:rsidP="001F28BE">
            <w:r>
              <w:t>None – must be specified.</w:t>
            </w:r>
          </w:p>
        </w:tc>
      </w:tr>
      <w:tr w:rsidR="002C72AD">
        <w:trPr>
          <w:jc w:val="center"/>
        </w:trPr>
        <w:tc>
          <w:tcPr>
            <w:tcW w:w="1854" w:type="dxa"/>
          </w:tcPr>
          <w:p w:rsidR="002C72AD" w:rsidRDefault="002C72AD" w:rsidP="00147E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IfNotFound</w:t>
            </w:r>
            <w:proofErr w:type="spellEnd"/>
          </w:p>
        </w:tc>
        <w:tc>
          <w:tcPr>
            <w:tcW w:w="3882" w:type="dxa"/>
          </w:tcPr>
          <w:p w:rsidR="002C72AD" w:rsidRDefault="002C72AD" w:rsidP="00147EB2">
            <w:r>
              <w:t>Indicates how to handle missing time series, one of:</w:t>
            </w:r>
          </w:p>
          <w:p w:rsidR="002C72AD" w:rsidRDefault="002C72AD" w:rsidP="00147EB2">
            <w:pPr>
              <w:numPr>
                <w:ilvl w:val="0"/>
                <w:numId w:val="1"/>
              </w:numPr>
            </w:pPr>
            <w:r w:rsidRPr="001B3EEB">
              <w:rPr>
                <w:rStyle w:val="RTiSWDocLiteralText"/>
              </w:rPr>
              <w:t>Warn</w:t>
            </w:r>
            <w:r>
              <w:t xml:space="preserve"> – generate fatal warnings and do not include in output.</w:t>
            </w:r>
          </w:p>
          <w:p w:rsidR="002C72AD" w:rsidRDefault="002C72AD" w:rsidP="00147EB2">
            <w:pPr>
              <w:numPr>
                <w:ilvl w:val="0"/>
                <w:numId w:val="1"/>
              </w:numPr>
            </w:pPr>
            <w:r w:rsidRPr="001B3EEB">
              <w:rPr>
                <w:rStyle w:val="RTiSWDocLiteralText"/>
              </w:rPr>
              <w:t>Ignore</w:t>
            </w:r>
            <w:r>
              <w:t xml:space="preserve"> – generate non-fatal warnings and do not include in output.</w:t>
            </w:r>
          </w:p>
          <w:p w:rsidR="002C72AD" w:rsidRDefault="002C72AD" w:rsidP="00147EB2">
            <w:pPr>
              <w:numPr>
                <w:ilvl w:val="0"/>
                <w:numId w:val="1"/>
              </w:numPr>
            </w:pPr>
            <w:r w:rsidRPr="001B3EEB">
              <w:rPr>
                <w:rStyle w:val="RTiSWDocLiteralText"/>
              </w:rPr>
              <w:t>Default</w:t>
            </w:r>
            <w:r>
              <w:t xml:space="preserve"> – generate non-fatal warnings and create empty time series for those that could not be found.  This requires that a </w:t>
            </w:r>
            <w:proofErr w:type="spellStart"/>
            <w:proofErr w:type="gramStart"/>
            <w:r w:rsidRPr="00D67E8E">
              <w:rPr>
                <w:rStyle w:val="RTiSWDocLiteralText"/>
              </w:rPr>
              <w:t>SetOutputPeriod</w:t>
            </w:r>
            <w:proofErr w:type="spellEnd"/>
            <w:r w:rsidRPr="00D67E8E">
              <w:rPr>
                <w:rStyle w:val="RTiSWDocLiteralText"/>
              </w:rPr>
              <w:t>(</w:t>
            </w:r>
            <w:proofErr w:type="gramEnd"/>
            <w:r w:rsidRPr="00D67E8E">
              <w:rPr>
                <w:rStyle w:val="RTiSWDocLiteralText"/>
              </w:rPr>
              <w:t xml:space="preserve">) </w:t>
            </w:r>
            <w:r>
              <w:rPr>
                <w:rStyle w:val="RTiSWDocLiteralText"/>
              </w:rPr>
              <w:t xml:space="preserve">command </w:t>
            </w:r>
            <w:r>
              <w:t>be used before the command to define the period for default time series.</w:t>
            </w:r>
          </w:p>
        </w:tc>
        <w:tc>
          <w:tcPr>
            <w:tcW w:w="3192" w:type="dxa"/>
          </w:tcPr>
          <w:p w:rsidR="002C72AD" w:rsidRPr="001B3EEB" w:rsidRDefault="002C72AD" w:rsidP="00147EB2">
            <w:pPr>
              <w:rPr>
                <w:rStyle w:val="RTiSWDocLiteralText"/>
              </w:rPr>
            </w:pPr>
            <w:r w:rsidRPr="001B3EEB">
              <w:rPr>
                <w:rStyle w:val="RTiSWDocLiteralText"/>
              </w:rPr>
              <w:t>Warn</w:t>
            </w:r>
          </w:p>
        </w:tc>
      </w:tr>
      <w:tr w:rsidR="002C72AD">
        <w:trPr>
          <w:jc w:val="center"/>
        </w:trPr>
        <w:tc>
          <w:tcPr>
            <w:tcW w:w="1854" w:type="dxa"/>
          </w:tcPr>
          <w:p w:rsidR="002C72AD" w:rsidRDefault="002C72AD" w:rsidP="00147E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DefaultUnits</w:t>
            </w:r>
            <w:proofErr w:type="spellEnd"/>
          </w:p>
        </w:tc>
        <w:tc>
          <w:tcPr>
            <w:tcW w:w="3882" w:type="dxa"/>
          </w:tcPr>
          <w:p w:rsidR="002C72AD" w:rsidRDefault="002C72AD" w:rsidP="00147EB2">
            <w:r>
              <w:t xml:space="preserve">Default units when </w:t>
            </w:r>
            <w:proofErr w:type="spellStart"/>
            <w:r w:rsidRPr="00F8478B">
              <w:rPr>
                <w:rStyle w:val="RTiSWDocLiteralText"/>
              </w:rPr>
              <w:t>IfNotFound</w:t>
            </w:r>
            <w:proofErr w:type="spellEnd"/>
            <w:r w:rsidRPr="00F8478B">
              <w:rPr>
                <w:rStyle w:val="RTiSWDocLiteralText"/>
              </w:rPr>
              <w:t>=Default</w:t>
            </w:r>
            <w:r>
              <w:t>.</w:t>
            </w:r>
          </w:p>
        </w:tc>
        <w:tc>
          <w:tcPr>
            <w:tcW w:w="3192" w:type="dxa"/>
          </w:tcPr>
          <w:p w:rsidR="002C72AD" w:rsidRDefault="002C72AD" w:rsidP="00147EB2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Blank – no units.</w:t>
            </w:r>
          </w:p>
        </w:tc>
      </w:tr>
    </w:tbl>
    <w:p w:rsidR="00147EB2" w:rsidRDefault="00147EB2">
      <w:pPr>
        <w:rPr>
          <w:color w:val="C0C0C0"/>
        </w:rPr>
      </w:pPr>
    </w:p>
    <w:p w:rsidR="00147EB2" w:rsidRDefault="00147EB2">
      <w:pPr>
        <w:numPr>
          <w:ilvl w:val="12"/>
          <w:numId w:val="0"/>
        </w:numPr>
      </w:pPr>
      <w:r>
        <w:t xml:space="preserve">A sample command file </w:t>
      </w:r>
      <w:r w:rsidR="004E3E79">
        <w:t xml:space="preserve">to read data from the State of Colorado’s </w:t>
      </w:r>
      <w:proofErr w:type="spellStart"/>
      <w:r w:rsidR="004E3E79">
        <w:t>HydroBase</w:t>
      </w:r>
      <w:proofErr w:type="spellEnd"/>
      <w:r w:rsidR="004E3E79">
        <w:t xml:space="preserve"> </w:t>
      </w:r>
      <w:r>
        <w:t>is as follows:</w:t>
      </w:r>
    </w:p>
    <w:p w:rsidR="00147EB2" w:rsidRDefault="00147EB2">
      <w:pPr>
        <w:numPr>
          <w:ilvl w:val="12"/>
          <w:numId w:val="0"/>
        </w:num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8"/>
      </w:tblGrid>
      <w:tr w:rsidR="00147EB2">
        <w:trPr>
          <w:jc w:val="center"/>
        </w:trPr>
        <w:tc>
          <w:tcPr>
            <w:tcW w:w="8838" w:type="dxa"/>
          </w:tcPr>
          <w:p w:rsidR="00147EB2" w:rsidRDefault="004E3E7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R</w:t>
            </w:r>
            <w:r w:rsidR="00147EB2">
              <w:rPr>
                <w:rFonts w:ascii="Courier New" w:eastAsia="MS Mincho" w:hAnsi="Courier New" w:cs="Courier New"/>
                <w:sz w:val="20"/>
              </w:rPr>
              <w:t>eadTimeSeries(</w:t>
            </w:r>
            <w:r>
              <w:rPr>
                <w:rFonts w:ascii="Courier New" w:eastAsia="MS Mincho" w:hAnsi="Courier New" w:cs="Courier New"/>
                <w:sz w:val="20"/>
              </w:rPr>
              <w:t>TSID=</w:t>
            </w:r>
            <w:r w:rsidR="00147EB2">
              <w:rPr>
                <w:rFonts w:ascii="Courier New" w:eastAsia="MS Mincho" w:hAnsi="Courier New" w:cs="Courier New"/>
                <w:sz w:val="20"/>
              </w:rPr>
              <w:t>"08235350.USGS.Streamflow.Day~HydroBase"</w:t>
            </w:r>
            <w:r w:rsidR="00897010">
              <w:rPr>
                <w:rFonts w:ascii="Courier New" w:eastAsia="MS Mincho" w:hAnsi="Courier New" w:cs="Courier New"/>
                <w:sz w:val="20"/>
              </w:rPr>
              <w:t>,Alias=TS1</w:t>
            </w:r>
            <w:r w:rsidR="00147EB2">
              <w:rPr>
                <w:rFonts w:ascii="Courier New" w:eastAsia="MS Mincho" w:hAnsi="Courier New" w:cs="Courier New"/>
                <w:sz w:val="20"/>
              </w:rPr>
              <w:t>)</w:t>
            </w:r>
          </w:p>
        </w:tc>
      </w:tr>
    </w:tbl>
    <w:p w:rsidR="00147EB2" w:rsidRDefault="00147EB2">
      <w:pPr>
        <w:numPr>
          <w:ilvl w:val="12"/>
          <w:numId w:val="0"/>
        </w:numPr>
      </w:pPr>
    </w:p>
    <w:bookmarkEnd w:id="2"/>
    <w:p w:rsidR="00147EB2" w:rsidRDefault="00147EB2" w:rsidP="004E3E79">
      <w:pPr>
        <w:rPr>
          <w:color w:val="C0C0C0"/>
        </w:rPr>
      </w:pPr>
    </w:p>
    <w:sectPr w:rsidR="00147E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D54" w:rsidRDefault="00AE7D54">
      <w:r>
        <w:separator/>
      </w:r>
    </w:p>
  </w:endnote>
  <w:endnote w:type="continuationSeparator" w:id="0">
    <w:p w:rsidR="00AE7D54" w:rsidRDefault="00AE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EB2" w:rsidRDefault="00147EB2">
    <w:pPr>
      <w:pStyle w:val="RTiSWDocFooter"/>
    </w:pPr>
    <w:r>
      <w:t xml:space="preserve">Command Reference – </w:t>
    </w:r>
    <w:proofErr w:type="spellStart"/>
    <w:proofErr w:type="gramStart"/>
    <w:r w:rsidR="004E3E79">
      <w:t>R</w:t>
    </w:r>
    <w:r>
      <w:t>eadTimeSeries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02C0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EB2" w:rsidRDefault="00147EB2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readTimeSeries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C72AD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EB2" w:rsidRDefault="00147EB2">
    <w:pPr>
      <w:pStyle w:val="RTiSWDocFooter"/>
    </w:pPr>
    <w:r>
      <w:tab/>
    </w:r>
    <w:r>
      <w:tab/>
      <w:t xml:space="preserve">Command </w:t>
    </w:r>
    <w:r w:rsidR="004E3E79">
      <w:t xml:space="preserve">Reference – </w:t>
    </w:r>
    <w:proofErr w:type="spellStart"/>
    <w:proofErr w:type="gramStart"/>
    <w:r w:rsidR="004E3E79">
      <w:t>R</w:t>
    </w:r>
    <w:r>
      <w:t>eadTimeSeries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02C0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D54" w:rsidRDefault="00AE7D54">
      <w:r>
        <w:separator/>
      </w:r>
    </w:p>
  </w:footnote>
  <w:footnote w:type="continuationSeparator" w:id="0">
    <w:p w:rsidR="00AE7D54" w:rsidRDefault="00AE7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EB2" w:rsidRDefault="004E3E79">
    <w:pPr>
      <w:pStyle w:val="RTiSWDocHeader"/>
    </w:pPr>
    <w:proofErr w:type="spellStart"/>
    <w:proofErr w:type="gramStart"/>
    <w:r>
      <w:t>R</w:t>
    </w:r>
    <w:r w:rsidR="00147EB2">
      <w:t>eadTimeSeries</w:t>
    </w:r>
    <w:proofErr w:type="spellEnd"/>
    <w:r w:rsidR="00147EB2">
      <w:t>(</w:t>
    </w:r>
    <w:proofErr w:type="gramEnd"/>
    <w:r w:rsidR="00147EB2">
      <w:t>) Command</w:t>
    </w:r>
    <w:r w:rsidR="00147EB2">
      <w:tab/>
    </w:r>
    <w:r w:rsidR="00147EB2">
      <w:tab/>
    </w:r>
    <w:proofErr w:type="spellStart"/>
    <w:r w:rsidR="00147EB2">
      <w:t>TSTool</w:t>
    </w:r>
    <w:proofErr w:type="spellEnd"/>
    <w:r w:rsidR="00147EB2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EB2" w:rsidRDefault="00147EB2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readTimeSeries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EB2" w:rsidRDefault="00147EB2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84C9A"/>
    <w:multiLevelType w:val="hybridMultilevel"/>
    <w:tmpl w:val="F9A6D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79"/>
    <w:rsid w:val="00060D67"/>
    <w:rsid w:val="00147EB2"/>
    <w:rsid w:val="001C0921"/>
    <w:rsid w:val="001F28BE"/>
    <w:rsid w:val="002C72AD"/>
    <w:rsid w:val="00497EAF"/>
    <w:rsid w:val="004E3E79"/>
    <w:rsid w:val="00502C0F"/>
    <w:rsid w:val="00897010"/>
    <w:rsid w:val="00995FEC"/>
    <w:rsid w:val="00AE7D54"/>
    <w:rsid w:val="00CF02DF"/>
    <w:rsid w:val="00D9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49634-E864-4A5A-AC9A-AD2B57F4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897010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97010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2013-05-17T23:41:00Z</cp:lastPrinted>
  <dcterms:created xsi:type="dcterms:W3CDTF">2015-09-16T06:02:00Z</dcterms:created>
  <dcterms:modified xsi:type="dcterms:W3CDTF">2015-09-16T06:07:00Z</dcterms:modified>
</cp:coreProperties>
</file>