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3809" w:rsidRDefault="00C63809">
      <w:pPr>
        <w:pStyle w:val="RTiSWDocChapterTitle"/>
      </w:pPr>
      <w:r>
        <w:t xml:space="preserve">Command Reference: </w:t>
      </w:r>
      <w:r w:rsidR="0052293A">
        <w:t xml:space="preserve"> R</w:t>
      </w:r>
      <w:r>
        <w:t>eadUsgsNwis</w:t>
      </w:r>
      <w:r w:rsidR="000951A8">
        <w:t>Rdb</w:t>
      </w:r>
      <w:r>
        <w:t>()</w:t>
      </w:r>
    </w:p>
    <w:p w:rsidR="00C63809" w:rsidRDefault="00C63809">
      <w:pPr>
        <w:pStyle w:val="RTiSWDocChapterSubtitle"/>
      </w:pPr>
      <w:r>
        <w:t xml:space="preserve">Read a single time series from a USGS NWIS </w:t>
      </w:r>
      <w:r w:rsidR="000951A8">
        <w:t xml:space="preserve">RDB </w:t>
      </w:r>
      <w:r>
        <w:t>file</w:t>
      </w:r>
    </w:p>
    <w:p w:rsidR="00C63809" w:rsidRDefault="00C63809">
      <w:pPr>
        <w:pStyle w:val="RTiSWDocNote"/>
      </w:pPr>
      <w:r>
        <w:t xml:space="preserve">Version </w:t>
      </w:r>
      <w:r w:rsidR="0079075C">
        <w:t>1</w:t>
      </w:r>
      <w:r w:rsidR="001417A6">
        <w:t>1</w:t>
      </w:r>
      <w:r>
        <w:t>.</w:t>
      </w:r>
      <w:r w:rsidR="001417A6">
        <w:t>11</w:t>
      </w:r>
      <w:r>
        <w:t>.0</w:t>
      </w:r>
      <w:r w:rsidR="0079075C">
        <w:t>0</w:t>
      </w:r>
      <w:r>
        <w:t>, 20</w:t>
      </w:r>
      <w:r w:rsidR="0079075C">
        <w:t>1</w:t>
      </w:r>
      <w:r w:rsidR="001417A6">
        <w:t>6</w:t>
      </w:r>
      <w:r>
        <w:t>-0</w:t>
      </w:r>
      <w:r w:rsidR="001417A6">
        <w:t>5</w:t>
      </w:r>
      <w:r>
        <w:t>-</w:t>
      </w:r>
      <w:r w:rsidR="001417A6">
        <w:t>16</w:t>
      </w:r>
    </w:p>
    <w:p w:rsidR="00C63809" w:rsidRDefault="00C63809"/>
    <w:p w:rsidR="00C63809" w:rsidRDefault="00C63809"/>
    <w:p w:rsidR="00C63809" w:rsidRDefault="00C63809">
      <w:r>
        <w:t xml:space="preserve">The </w:t>
      </w:r>
      <w:r w:rsidR="0052293A">
        <w:rPr>
          <w:rStyle w:val="RTiSWDocLiteralText"/>
        </w:rPr>
        <w:t>R</w:t>
      </w:r>
      <w:r>
        <w:rPr>
          <w:rStyle w:val="RTiSWDocLiteralText"/>
        </w:rPr>
        <w:t>eadUsgsNwis</w:t>
      </w:r>
      <w:r w:rsidR="000951A8">
        <w:rPr>
          <w:rStyle w:val="RTiSWDocLiteralText"/>
        </w:rPr>
        <w:t>Rdb</w:t>
      </w:r>
      <w:r>
        <w:rPr>
          <w:rStyle w:val="RTiSWDocLiteralText"/>
        </w:rPr>
        <w:t>()</w:t>
      </w:r>
      <w:r>
        <w:t xml:space="preserve"> command reads a single time series from a USGS NWIS </w:t>
      </w:r>
      <w:r w:rsidR="000951A8">
        <w:t xml:space="preserve">RDB </w:t>
      </w:r>
      <w:r>
        <w:t xml:space="preserve">file (see the </w:t>
      </w:r>
      <w:r>
        <w:rPr>
          <w:rStyle w:val="RTiSWDocSectionReference"/>
        </w:rPr>
        <w:t>U</w:t>
      </w:r>
      <w:r w:rsidR="000951A8">
        <w:rPr>
          <w:rStyle w:val="RTiSWDocSectionReference"/>
        </w:rPr>
        <w:t>sgsNwisRdb</w:t>
      </w:r>
      <w:r>
        <w:rPr>
          <w:rStyle w:val="RTiSWDocSectionReference"/>
        </w:rPr>
        <w:t xml:space="preserve"> Input Type Appendix</w:t>
      </w:r>
      <w:r>
        <w:t xml:space="preserve">) and assigns an alias to the result. </w:t>
      </w:r>
      <w:r w:rsidR="000951A8">
        <w:t xml:space="preserve">This command replaces the older </w:t>
      </w:r>
      <w:r w:rsidR="000951A8" w:rsidRPr="000951A8">
        <w:rPr>
          <w:rStyle w:val="RTiSWDocLiteralText"/>
        </w:rPr>
        <w:t>ReadUsgsNwis()</w:t>
      </w:r>
      <w:r w:rsidR="000951A8">
        <w:t xml:space="preserve"> command – legacy </w:t>
      </w:r>
      <w:r w:rsidR="000951A8" w:rsidRPr="000951A8">
        <w:rPr>
          <w:rStyle w:val="RTiSWDocLiteralText"/>
        </w:rPr>
        <w:t>ReadUsgsNwis()</w:t>
      </w:r>
      <w:r w:rsidR="000951A8">
        <w:t xml:space="preserve"> commands are automatically translated to </w:t>
      </w:r>
      <w:r w:rsidR="000951A8" w:rsidRPr="000951A8">
        <w:rPr>
          <w:rStyle w:val="RTiSWDocLiteralText"/>
        </w:rPr>
        <w:t>ReadUsgsNwisRdb()</w:t>
      </w:r>
      <w:r w:rsidR="000951A8">
        <w:t xml:space="preserve"> commands.  </w:t>
      </w:r>
      <w:r w:rsidR="001417A6">
        <w:t>RDB files do not have complete metadata (such as indicating the data interval) and therefore command parameters are required.</w:t>
      </w:r>
      <w:r w:rsidR="009607EC">
        <w:t xml:space="preserve">  </w:t>
      </w:r>
      <w:r w:rsidR="0079075C">
        <w:t xml:space="preserve">See also the </w:t>
      </w:r>
      <w:r w:rsidR="0079075C" w:rsidRPr="0079075C">
        <w:rPr>
          <w:rStyle w:val="RTiSWDocLiteralText"/>
        </w:rPr>
        <w:t>WebGet()</w:t>
      </w:r>
      <w:r w:rsidR="0079075C">
        <w:t xml:space="preserve"> command, which can be used to retrieve data files from the USGS website.</w:t>
      </w:r>
    </w:p>
    <w:p w:rsidR="00C63809" w:rsidRDefault="00C63809"/>
    <w:p w:rsidR="00C63809" w:rsidRDefault="00C63809">
      <w:r>
        <w:t>The following dialog is used to edit the command and illustrates the syntax.</w:t>
      </w:r>
    </w:p>
    <w:p w:rsidR="00C63809" w:rsidRDefault="00C63809"/>
    <w:p w:rsidR="00C63809" w:rsidRDefault="001417A6">
      <w:pPr>
        <w:jc w:val="center"/>
      </w:pPr>
      <w:r>
        <w:rPr>
          <w:noProof/>
        </w:rPr>
        <w:drawing>
          <wp:inline distT="0" distB="0" distL="0" distR="0">
            <wp:extent cx="5943600" cy="3027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ReadUsgsNwisR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09" w:rsidRDefault="0052293A">
      <w:pPr>
        <w:pStyle w:val="RTiSWDocNote"/>
      </w:pPr>
      <w:r>
        <w:t>R</w:t>
      </w:r>
      <w:r w:rsidR="00C63809">
        <w:t>eadUsgsNwis</w:t>
      </w:r>
      <w:r w:rsidR="000951A8">
        <w:t>Rdb</w:t>
      </w:r>
    </w:p>
    <w:p w:rsidR="00C63809" w:rsidRDefault="0052293A">
      <w:pPr>
        <w:pStyle w:val="RTiSWDocFigureTableTitle"/>
      </w:pPr>
      <w:r>
        <w:t>R</w:t>
      </w:r>
      <w:r w:rsidR="00C63809">
        <w:t>eadUsgsNwis</w:t>
      </w:r>
      <w:r w:rsidR="000951A8">
        <w:t>Rdb</w:t>
      </w:r>
      <w:r w:rsidR="00C63809">
        <w:t>() Command Editor</w:t>
      </w:r>
    </w:p>
    <w:p w:rsidR="00C63809" w:rsidRDefault="00C63809">
      <w:pPr>
        <w:numPr>
          <w:ilvl w:val="12"/>
          <w:numId w:val="0"/>
        </w:numPr>
      </w:pPr>
      <w:bookmarkStart w:id="0" w:name="replaceValue"/>
    </w:p>
    <w:p w:rsidR="00C63809" w:rsidRDefault="00C63809">
      <w:r>
        <w:br w:type="page"/>
      </w:r>
      <w:r>
        <w:lastRenderedPageBreak/>
        <w:t>The command syntax is as follows:</w:t>
      </w:r>
    </w:p>
    <w:p w:rsidR="00C63809" w:rsidRDefault="00C63809"/>
    <w:p w:rsidR="00C63809" w:rsidRDefault="0052293A">
      <w:pPr>
        <w:ind w:left="720"/>
        <w:rPr>
          <w:rStyle w:val="RTiSWDocLiteralText"/>
        </w:rPr>
      </w:pPr>
      <w:r>
        <w:rPr>
          <w:rStyle w:val="RTiSWDocLiteralText"/>
        </w:rPr>
        <w:t>R</w:t>
      </w:r>
      <w:r w:rsidR="00C63809">
        <w:rPr>
          <w:rStyle w:val="RTiSWDocLiteralText"/>
        </w:rPr>
        <w:t>eadUsgsNwis</w:t>
      </w:r>
      <w:r w:rsidR="000951A8">
        <w:rPr>
          <w:rStyle w:val="RTiSWDocLiteralText"/>
        </w:rPr>
        <w:t>Rdb</w:t>
      </w:r>
      <w:r w:rsidR="00C63809">
        <w:rPr>
          <w:rStyle w:val="RTiSWDocLiteralText"/>
        </w:rPr>
        <w:t>(</w:t>
      </w:r>
      <w:r>
        <w:rPr>
          <w:rStyle w:val="RTiSWDocLiteralText"/>
        </w:rPr>
        <w:t>Parameter=Value,…</w:t>
      </w:r>
      <w:r w:rsidR="00C63809">
        <w:rPr>
          <w:rStyle w:val="RTiSWDocLiteralText"/>
        </w:rPr>
        <w:t>)</w:t>
      </w:r>
    </w:p>
    <w:p w:rsidR="000A6E9A" w:rsidRDefault="000A6E9A" w:rsidP="000A6E9A"/>
    <w:p w:rsidR="000A6E9A" w:rsidRDefault="000A6E9A" w:rsidP="000A6E9A">
      <w:r>
        <w:t xml:space="preserve">The following </w:t>
      </w:r>
      <w:r w:rsidR="009243EE">
        <w:t>legacy</w:t>
      </w:r>
      <w:r>
        <w:t xml:space="preserve"> command syntax is updated to the above syntax when a command file is read:</w:t>
      </w:r>
    </w:p>
    <w:p w:rsidR="000A6E9A" w:rsidRDefault="000A6E9A" w:rsidP="000A6E9A"/>
    <w:p w:rsidR="000A6E9A" w:rsidRDefault="000A6E9A" w:rsidP="000A6E9A">
      <w:pPr>
        <w:ind w:left="720"/>
        <w:rPr>
          <w:rStyle w:val="RTiSWDocLiteralText"/>
        </w:rPr>
      </w:pPr>
      <w:r>
        <w:rPr>
          <w:rStyle w:val="RTiSWDocLiteralText"/>
        </w:rPr>
        <w:t>TS Alias = ReadUsgsNwis (Parameter=Value,…)</w:t>
      </w:r>
    </w:p>
    <w:p w:rsidR="00C63809" w:rsidRDefault="00C63809"/>
    <w:p w:rsidR="00C63809" w:rsidRDefault="00C63809">
      <w:pPr>
        <w:pStyle w:val="RTiSWDocFigureTableTitle"/>
      </w:pPr>
      <w:r>
        <w:t>Command Parameters</w:t>
      </w:r>
    </w:p>
    <w:p w:rsidR="00C63809" w:rsidRDefault="00C6380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3882"/>
        <w:gridCol w:w="3192"/>
      </w:tblGrid>
      <w:tr w:rsidR="00C638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  <w:shd w:val="clear" w:color="auto" w:fill="C0C0C0"/>
          </w:tcPr>
          <w:p w:rsidR="00C63809" w:rsidRDefault="00C63809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C63809" w:rsidRDefault="00C63809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C63809" w:rsidRDefault="00C63809">
            <w:pPr>
              <w:pStyle w:val="RTiSWDocTableHeading"/>
            </w:pPr>
            <w:r>
              <w:t>Default</w:t>
            </w:r>
          </w:p>
        </w:tc>
      </w:tr>
      <w:tr w:rsidR="00C638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C63809" w:rsidRDefault="00C638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InputFile</w:t>
            </w:r>
          </w:p>
        </w:tc>
        <w:tc>
          <w:tcPr>
            <w:tcW w:w="3882" w:type="dxa"/>
          </w:tcPr>
          <w:p w:rsidR="00C63809" w:rsidRDefault="00C63809">
            <w:r>
              <w:t xml:space="preserve">The name of the USGS NWIS </w:t>
            </w:r>
            <w:r w:rsidR="000951A8">
              <w:t xml:space="preserve">RDB </w:t>
            </w:r>
            <w:r>
              <w:t>file to read, surrounded by double quotes.  The path to the file can be absolute or relative to the working directory</w:t>
            </w:r>
            <w:r w:rsidR="0052293A">
              <w:t>.</w:t>
            </w:r>
            <w:r w:rsidR="001417A6">
              <w:t xml:space="preserve">  </w:t>
            </w:r>
            <w:r w:rsidR="001417A6">
              <w:t xml:space="preserve">Can be specified with </w:t>
            </w:r>
            <w:r w:rsidR="001417A6" w:rsidRPr="001417A6">
              <w:rPr>
                <w:rStyle w:val="RTiSWDocLiteralText"/>
              </w:rPr>
              <w:t>${Property}</w:t>
            </w:r>
            <w:r w:rsidR="001417A6">
              <w:t>.</w:t>
            </w:r>
            <w:bookmarkStart w:id="1" w:name="_GoBack"/>
            <w:bookmarkEnd w:id="1"/>
          </w:p>
        </w:tc>
        <w:tc>
          <w:tcPr>
            <w:tcW w:w="3192" w:type="dxa"/>
          </w:tcPr>
          <w:p w:rsidR="00C63809" w:rsidRDefault="00C63809">
            <w:r>
              <w:t>None – must be specified.</w:t>
            </w:r>
          </w:p>
        </w:tc>
      </w:tr>
      <w:tr w:rsidR="000A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0A6E9A" w:rsidRDefault="000A6E9A" w:rsidP="00D4677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3882" w:type="dxa"/>
          </w:tcPr>
          <w:p w:rsidR="000A6E9A" w:rsidRDefault="000A6E9A" w:rsidP="00D46775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</w:p>
        </w:tc>
        <w:tc>
          <w:tcPr>
            <w:tcW w:w="3192" w:type="dxa"/>
          </w:tcPr>
          <w:p w:rsidR="000A6E9A" w:rsidRDefault="000A6E9A" w:rsidP="00D46775">
            <w:r>
              <w:t>None – must be specified.</w:t>
            </w:r>
          </w:p>
        </w:tc>
      </w:tr>
      <w:tr w:rsidR="001417A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1417A6" w:rsidRDefault="001417A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DataType</w:t>
            </w:r>
          </w:p>
        </w:tc>
        <w:tc>
          <w:tcPr>
            <w:tcW w:w="3882" w:type="dxa"/>
          </w:tcPr>
          <w:p w:rsidR="001417A6" w:rsidRDefault="001417A6">
            <w:r>
              <w:t>The data type to assign to time series.</w:t>
            </w:r>
          </w:p>
        </w:tc>
        <w:tc>
          <w:tcPr>
            <w:tcW w:w="3192" w:type="dxa"/>
          </w:tcPr>
          <w:p w:rsidR="001417A6" w:rsidRDefault="001417A6">
            <w:r>
              <w:t xml:space="preserve">Use the column heading, e.g., </w:t>
            </w:r>
            <w:r w:rsidRPr="001417A6">
              <w:rPr>
                <w:rStyle w:val="RTiSWDocLiteralText"/>
              </w:rPr>
              <w:t>01_00060</w:t>
            </w:r>
            <w:r>
              <w:t>.</w:t>
            </w:r>
          </w:p>
        </w:tc>
      </w:tr>
      <w:tr w:rsidR="001417A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1417A6" w:rsidRDefault="001417A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3882" w:type="dxa"/>
          </w:tcPr>
          <w:p w:rsidR="001417A6" w:rsidRDefault="001417A6">
            <w:r>
              <w:t>The time series data interval for output.</w:t>
            </w:r>
          </w:p>
        </w:tc>
        <w:tc>
          <w:tcPr>
            <w:tcW w:w="3192" w:type="dxa"/>
          </w:tcPr>
          <w:p w:rsidR="001417A6" w:rsidRDefault="001417A6">
            <w:r>
              <w:t>In the future may determine from the file but should be defined by the parameter.</w:t>
            </w:r>
          </w:p>
        </w:tc>
      </w:tr>
      <w:tr w:rsidR="001417A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1417A6" w:rsidRDefault="001417A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Units</w:t>
            </w:r>
          </w:p>
        </w:tc>
        <w:tc>
          <w:tcPr>
            <w:tcW w:w="3882" w:type="dxa"/>
          </w:tcPr>
          <w:p w:rsidR="001417A6" w:rsidRDefault="001417A6">
            <w:r>
              <w:t>Data units to assign to output.</w:t>
            </w:r>
          </w:p>
        </w:tc>
        <w:tc>
          <w:tcPr>
            <w:tcW w:w="3192" w:type="dxa"/>
          </w:tcPr>
          <w:p w:rsidR="001417A6" w:rsidRDefault="001417A6">
            <w:r>
              <w:t>No units assigned.</w:t>
            </w:r>
          </w:p>
        </w:tc>
      </w:tr>
      <w:tr w:rsidR="000A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0A6E9A" w:rsidRDefault="000A6E9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InputStart</w:t>
            </w:r>
          </w:p>
        </w:tc>
        <w:tc>
          <w:tcPr>
            <w:tcW w:w="3882" w:type="dxa"/>
          </w:tcPr>
          <w:p w:rsidR="000A6E9A" w:rsidRDefault="000A6E9A">
            <w:r>
              <w:t>The start of the period to read data – specify if the period should be different from the global query period.</w:t>
            </w:r>
            <w:r w:rsidR="001417A6">
              <w:t xml:space="preserve">  Can be specified with </w:t>
            </w:r>
            <w:r w:rsidR="001417A6" w:rsidRPr="001417A6">
              <w:rPr>
                <w:rStyle w:val="RTiSWDocLiteralText"/>
              </w:rPr>
              <w:t>${Property}</w:t>
            </w:r>
            <w:r w:rsidR="001417A6">
              <w:t>.</w:t>
            </w:r>
          </w:p>
        </w:tc>
        <w:tc>
          <w:tcPr>
            <w:tcW w:w="3192" w:type="dxa"/>
          </w:tcPr>
          <w:p w:rsidR="000A6E9A" w:rsidRDefault="000A6E9A">
            <w:r>
              <w:t>Use the global query period.</w:t>
            </w:r>
          </w:p>
        </w:tc>
      </w:tr>
      <w:tr w:rsidR="000A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0A6E9A" w:rsidRDefault="000A6E9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InputEnd</w:t>
            </w:r>
          </w:p>
        </w:tc>
        <w:tc>
          <w:tcPr>
            <w:tcW w:w="3882" w:type="dxa"/>
          </w:tcPr>
          <w:p w:rsidR="000A6E9A" w:rsidRDefault="000A6E9A">
            <w:r>
              <w:t>The end of the period to read data – specify if the period should be different from the global query period.</w:t>
            </w:r>
            <w:r w:rsidR="001417A6">
              <w:t xml:space="preserve">  </w:t>
            </w:r>
            <w:r w:rsidR="001417A6">
              <w:t xml:space="preserve">Can be specified with </w:t>
            </w:r>
            <w:r w:rsidR="001417A6" w:rsidRPr="001417A6">
              <w:rPr>
                <w:rStyle w:val="RTiSWDocLiteralText"/>
              </w:rPr>
              <w:t>${Property}</w:t>
            </w:r>
            <w:r w:rsidR="001417A6">
              <w:t>.</w:t>
            </w:r>
          </w:p>
        </w:tc>
        <w:tc>
          <w:tcPr>
            <w:tcW w:w="3192" w:type="dxa"/>
          </w:tcPr>
          <w:p w:rsidR="000A6E9A" w:rsidRDefault="000A6E9A">
            <w:r>
              <w:t>Use the global query period.</w:t>
            </w:r>
          </w:p>
        </w:tc>
      </w:tr>
      <w:bookmarkEnd w:id="0"/>
    </w:tbl>
    <w:p w:rsidR="00C63809" w:rsidRDefault="00C63809">
      <w:pPr>
        <w:rPr>
          <w:color w:val="C0C0C0"/>
        </w:rPr>
      </w:pPr>
    </w:p>
    <w:sectPr w:rsidR="00C638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BDC" w:rsidRDefault="00A43BDC">
      <w:r>
        <w:separator/>
      </w:r>
    </w:p>
  </w:endnote>
  <w:endnote w:type="continuationSeparator" w:id="0">
    <w:p w:rsidR="00A43BDC" w:rsidRDefault="00A43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809" w:rsidRDefault="0052293A">
    <w:pPr>
      <w:pStyle w:val="RTiSWDocFooter"/>
    </w:pPr>
    <w:r>
      <w:t>Command Reference – R</w:t>
    </w:r>
    <w:r w:rsidR="00C63809">
      <w:t>eadUsgsNwis</w:t>
    </w:r>
    <w:r w:rsidR="000951A8">
      <w:t>Rdb</w:t>
    </w:r>
    <w:r w:rsidR="00C63809">
      <w:t xml:space="preserve">() - </w:t>
    </w:r>
    <w:r w:rsidR="00C63809">
      <w:fldChar w:fldCharType="begin"/>
    </w:r>
    <w:r w:rsidR="00C63809">
      <w:instrText xml:space="preserve"> PAGE </w:instrText>
    </w:r>
    <w:r w:rsidR="00C63809">
      <w:fldChar w:fldCharType="separate"/>
    </w:r>
    <w:r w:rsidR="001417A6">
      <w:rPr>
        <w:noProof/>
      </w:rPr>
      <w:t>2</w:t>
    </w:r>
    <w:r w:rsidR="00C63809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809" w:rsidRDefault="00C63809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TS X = readUsgsNwis()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809" w:rsidRDefault="00C63809">
    <w:pPr>
      <w:pStyle w:val="RTiSWDocFooter"/>
    </w:pPr>
    <w:r>
      <w:tab/>
    </w:r>
    <w:r>
      <w:tab/>
    </w:r>
    <w:r w:rsidR="0052293A">
      <w:t>Command Reference – R</w:t>
    </w:r>
    <w:r>
      <w:t>eadUsgsNwis</w:t>
    </w:r>
    <w:r w:rsidR="000951A8">
      <w:t>Rdb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1417A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BDC" w:rsidRDefault="00A43BDC">
      <w:r>
        <w:separator/>
      </w:r>
    </w:p>
  </w:footnote>
  <w:footnote w:type="continuationSeparator" w:id="0">
    <w:p w:rsidR="00A43BDC" w:rsidRDefault="00A43B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809" w:rsidRDefault="0052293A">
    <w:pPr>
      <w:pStyle w:val="RTiSWDocHeader"/>
    </w:pPr>
    <w:r>
      <w:t>R</w:t>
    </w:r>
    <w:r w:rsidR="00C63809">
      <w:t>eadUsgsNwis</w:t>
    </w:r>
    <w:r w:rsidR="000951A8">
      <w:t>Rdb</w:t>
    </w:r>
    <w:r w:rsidR="00C63809">
      <w:t>() Command</w:t>
    </w:r>
    <w:r w:rsidR="00C63809">
      <w:tab/>
    </w:r>
    <w:r w:rsidR="00C63809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809" w:rsidRDefault="00C63809">
    <w:pPr>
      <w:pBdr>
        <w:bottom w:val="single" w:sz="6" w:space="1" w:color="000000"/>
      </w:pBdr>
      <w:tabs>
        <w:tab w:val="right" w:pos="9360"/>
      </w:tabs>
    </w:pPr>
    <w:r>
      <w:t>TSTool Documentation</w:t>
    </w:r>
    <w:r>
      <w:tab/>
    </w:r>
    <w:r>
      <w:tab/>
      <w:t>TS X = readUsgsNwis()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809" w:rsidRDefault="00C63809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3A"/>
    <w:rsid w:val="000951A8"/>
    <w:rsid w:val="000A6A5C"/>
    <w:rsid w:val="000A6E9A"/>
    <w:rsid w:val="001261E2"/>
    <w:rsid w:val="001417A6"/>
    <w:rsid w:val="0052293A"/>
    <w:rsid w:val="00756840"/>
    <w:rsid w:val="0079075C"/>
    <w:rsid w:val="007C1DC4"/>
    <w:rsid w:val="009243EE"/>
    <w:rsid w:val="009607EC"/>
    <w:rsid w:val="00A43BDC"/>
    <w:rsid w:val="00C63809"/>
    <w:rsid w:val="00D4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52939-101A-4781-A02E-880EDC2F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0951A8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0951A8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0A6A5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2016-05-17T05:18:00Z</dcterms:created>
  <dcterms:modified xsi:type="dcterms:W3CDTF">2016-05-17T05:26:00Z</dcterms:modified>
</cp:coreProperties>
</file>