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A6837" w:rsidRDefault="003A6837">
      <w:pPr>
        <w:pStyle w:val="RTiSWDocChapterTitle"/>
      </w:pPr>
      <w:r>
        <w:t xml:space="preserve">Command Reference: </w:t>
      </w:r>
      <w:r w:rsidR="0083722E">
        <w:t xml:space="preserve"> </w:t>
      </w:r>
      <w:proofErr w:type="spellStart"/>
      <w:proofErr w:type="gramStart"/>
      <w:r w:rsidR="0083722E">
        <w:t>R</w:t>
      </w:r>
      <w:r>
        <w:t>eplaceValue</w:t>
      </w:r>
      <w:proofErr w:type="spellEnd"/>
      <w:r>
        <w:t>()</w:t>
      </w:r>
      <w:proofErr w:type="gramEnd"/>
    </w:p>
    <w:p w:rsidR="003A6837" w:rsidRDefault="003A6837">
      <w:pPr>
        <w:pStyle w:val="RTiSWDocChapterSubtitle"/>
      </w:pPr>
      <w:r>
        <w:t xml:space="preserve">Replace </w:t>
      </w:r>
      <w:r w:rsidR="00EF3502">
        <w:t xml:space="preserve">time series </w:t>
      </w:r>
      <w:r w:rsidR="0083722E">
        <w:t>d</w:t>
      </w:r>
      <w:r>
        <w:t xml:space="preserve">ata </w:t>
      </w:r>
      <w:r w:rsidR="0083722E">
        <w:t>v</w:t>
      </w:r>
      <w:r w:rsidR="00EF3502">
        <w:t>alue(s)</w:t>
      </w:r>
    </w:p>
    <w:p w:rsidR="003A6837" w:rsidRPr="003374A6" w:rsidRDefault="003A6837">
      <w:pPr>
        <w:pStyle w:val="RTiSWDocNote"/>
        <w:rPr>
          <w:rStyle w:val="RTiSWDocLiteralText"/>
        </w:rPr>
      </w:pPr>
      <w:r>
        <w:t xml:space="preserve">Version </w:t>
      </w:r>
      <w:r w:rsidR="00D919F9">
        <w:t>1</w:t>
      </w:r>
      <w:r w:rsidR="001E7BBC">
        <w:t>1</w:t>
      </w:r>
      <w:r>
        <w:t>.</w:t>
      </w:r>
      <w:r w:rsidR="00C55321">
        <w:t>0</w:t>
      </w:r>
      <w:r w:rsidR="001E7BBC">
        <w:t>3</w:t>
      </w:r>
      <w:r>
        <w:t>.</w:t>
      </w:r>
      <w:r w:rsidR="00410849">
        <w:t>0</w:t>
      </w:r>
      <w:r w:rsidR="001E7BBC">
        <w:t>2</w:t>
      </w:r>
      <w:r>
        <w:t>, 20</w:t>
      </w:r>
      <w:r w:rsidR="00C55321">
        <w:t>1</w:t>
      </w:r>
      <w:r w:rsidR="001E7BBC">
        <w:t>5</w:t>
      </w:r>
      <w:r>
        <w:t>-</w:t>
      </w:r>
      <w:r w:rsidR="003374A6">
        <w:t>0</w:t>
      </w:r>
      <w:r w:rsidR="001E7BBC">
        <w:t>6</w:t>
      </w:r>
      <w:r w:rsidR="0083722E">
        <w:t>-</w:t>
      </w:r>
      <w:r w:rsidR="001E7BBC">
        <w:t>08</w:t>
      </w:r>
    </w:p>
    <w:p w:rsidR="003A6837" w:rsidRDefault="003A6837">
      <w:pPr>
        <w:rPr>
          <w:b/>
        </w:rPr>
      </w:pPr>
    </w:p>
    <w:p w:rsidR="0083722E" w:rsidRDefault="003A6837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83722E">
        <w:rPr>
          <w:rStyle w:val="RTiSWDocLiteralText"/>
        </w:rPr>
        <w:t>R</w:t>
      </w:r>
      <w:r>
        <w:rPr>
          <w:rStyle w:val="RTiSWDocLiteralText"/>
        </w:rPr>
        <w:t>eplaceValue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replaces a range of values in a time series with a constant value</w:t>
      </w:r>
      <w:r w:rsidR="00C55321">
        <w:t>, sets the values to missing</w:t>
      </w:r>
      <w:r w:rsidR="0054675F">
        <w:t>,</w:t>
      </w:r>
      <w:r w:rsidR="00C55321">
        <w:t xml:space="preserve"> or removes the values (if an irregular time series)</w:t>
      </w:r>
      <w:r>
        <w:t>.</w:t>
      </w:r>
      <w:r w:rsidR="00DA61CD">
        <w:t xml:space="preserve">  If the missing value indicator is a number in the range, </w:t>
      </w:r>
      <w:r w:rsidR="00236134">
        <w:t xml:space="preserve">missing values </w:t>
      </w:r>
      <w:r w:rsidR="00DA61CD">
        <w:t xml:space="preserve">also </w:t>
      </w:r>
      <w:r w:rsidR="00236134">
        <w:t xml:space="preserve">will </w:t>
      </w:r>
      <w:r w:rsidR="00DA61CD">
        <w:t>be replaced.</w:t>
      </w:r>
      <w:r w:rsidR="00C55321">
        <w:t xml:space="preserve">  </w:t>
      </w:r>
      <w:r w:rsidR="00EF3502">
        <w:t xml:space="preserve">The time series data flag can be checked in place of or addition to checking the numerical values.  </w:t>
      </w:r>
      <w:r w:rsidR="00C55321">
        <w:t xml:space="preserve">This command is useful for filtering out erroneous data values.  See also the </w:t>
      </w:r>
      <w:proofErr w:type="spellStart"/>
      <w:proofErr w:type="gramStart"/>
      <w:r w:rsidR="00C55321" w:rsidRPr="00C55321">
        <w:rPr>
          <w:rStyle w:val="RTiSWDocLiteralText"/>
        </w:rPr>
        <w:t>CheckTimeSeries</w:t>
      </w:r>
      <w:proofErr w:type="spellEnd"/>
      <w:r w:rsidR="00C55321" w:rsidRPr="00C55321">
        <w:rPr>
          <w:rStyle w:val="RTiSWDocLiteralText"/>
        </w:rPr>
        <w:t>(</w:t>
      </w:r>
      <w:proofErr w:type="gramEnd"/>
      <w:r w:rsidR="00C55321" w:rsidRPr="00C55321">
        <w:rPr>
          <w:rStyle w:val="RTiSWDocLiteralText"/>
        </w:rPr>
        <w:t>)</w:t>
      </w:r>
      <w:r w:rsidR="00C55321">
        <w:t xml:space="preserve"> command, which provides for a variety of checks and also allows values to be set to missing or removed.</w:t>
      </w:r>
    </w:p>
    <w:p w:rsidR="0083722E" w:rsidRDefault="0083722E">
      <w:pPr>
        <w:numPr>
          <w:ilvl w:val="12"/>
          <w:numId w:val="0"/>
        </w:numPr>
      </w:pPr>
    </w:p>
    <w:p w:rsidR="003A6837" w:rsidRDefault="003A6837">
      <w:pPr>
        <w:numPr>
          <w:ilvl w:val="12"/>
          <w:numId w:val="0"/>
        </w:numPr>
      </w:pPr>
      <w:r>
        <w:t>The following dialog is used to edit the command and illustrates the syntax of the command:</w:t>
      </w:r>
    </w:p>
    <w:p w:rsidR="003A6837" w:rsidRDefault="003A6837">
      <w:pPr>
        <w:numPr>
          <w:ilvl w:val="12"/>
          <w:numId w:val="0"/>
        </w:numPr>
      </w:pPr>
    </w:p>
    <w:p w:rsidR="003A6837" w:rsidRDefault="001E7BBC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371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ReplaceValu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837" w:rsidRDefault="0083722E">
      <w:pPr>
        <w:pStyle w:val="RTiSWDocNote"/>
      </w:pPr>
      <w:proofErr w:type="spellStart"/>
      <w:r>
        <w:t>R</w:t>
      </w:r>
      <w:r w:rsidR="003A6837">
        <w:t>eplaceValue</w:t>
      </w:r>
      <w:proofErr w:type="spellEnd"/>
    </w:p>
    <w:p w:rsidR="003A6837" w:rsidRDefault="0083722E">
      <w:pPr>
        <w:pStyle w:val="RTiSWDocFigureTableTitle"/>
      </w:pPr>
      <w:proofErr w:type="spellStart"/>
      <w:proofErr w:type="gramStart"/>
      <w:r>
        <w:t>R</w:t>
      </w:r>
      <w:r w:rsidR="003A6837">
        <w:t>eplaceValue</w:t>
      </w:r>
      <w:proofErr w:type="spellEnd"/>
      <w:r w:rsidR="003A6837">
        <w:t>(</w:t>
      </w:r>
      <w:proofErr w:type="gramEnd"/>
      <w:r w:rsidR="003A6837">
        <w:t>) Command Editor</w:t>
      </w:r>
    </w:p>
    <w:p w:rsidR="003A6837" w:rsidRDefault="003A6837">
      <w:pPr>
        <w:numPr>
          <w:ilvl w:val="12"/>
          <w:numId w:val="0"/>
        </w:numPr>
      </w:pPr>
      <w:bookmarkStart w:id="0" w:name="replaceValue"/>
    </w:p>
    <w:p w:rsidR="003A6837" w:rsidRDefault="00EF3502">
      <w:r>
        <w:br w:type="page"/>
      </w:r>
      <w:r w:rsidR="003A6837">
        <w:lastRenderedPageBreak/>
        <w:t>The command syntax is as follows:</w:t>
      </w:r>
    </w:p>
    <w:p w:rsidR="003A6837" w:rsidRDefault="003A6837"/>
    <w:p w:rsidR="003A6837" w:rsidRDefault="0083722E">
      <w:pPr>
        <w:ind w:left="720"/>
      </w:pPr>
      <w:proofErr w:type="spellStart"/>
      <w:proofErr w:type="gramStart"/>
      <w:r>
        <w:rPr>
          <w:rStyle w:val="RTiSWDocLiteralText"/>
        </w:rPr>
        <w:t>R</w:t>
      </w:r>
      <w:r w:rsidR="003A6837">
        <w:rPr>
          <w:rStyle w:val="RTiSWDocLiteralText"/>
        </w:rPr>
        <w:t>eplaceValue</w:t>
      </w:r>
      <w:proofErr w:type="spellEnd"/>
      <w:r w:rsidR="003A6837">
        <w:rPr>
          <w:rStyle w:val="RTiSWDocLiteralText"/>
        </w:rPr>
        <w:t>(</w:t>
      </w:r>
      <w:proofErr w:type="gramEnd"/>
      <w:r>
        <w:rPr>
          <w:rStyle w:val="RTiSWDocLiteralText"/>
        </w:rPr>
        <w:t>Parameter=Value,…</w:t>
      </w:r>
      <w:r w:rsidR="003A6837">
        <w:rPr>
          <w:rStyle w:val="RTiSWDocLiteralText"/>
        </w:rPr>
        <w:t>)</w:t>
      </w:r>
    </w:p>
    <w:p w:rsidR="003A6837" w:rsidRDefault="003A6837"/>
    <w:p w:rsidR="003A6837" w:rsidRDefault="003A6837">
      <w:pPr>
        <w:pStyle w:val="RTiSWDocFigureTableTitle"/>
      </w:pPr>
      <w:r>
        <w:t>Command Parameters</w:t>
      </w:r>
    </w:p>
    <w:p w:rsidR="003A6837" w:rsidRDefault="003A683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5"/>
        <w:gridCol w:w="4631"/>
        <w:gridCol w:w="2595"/>
      </w:tblGrid>
      <w:tr w:rsidR="003A6837" w:rsidTr="003374A6">
        <w:trPr>
          <w:tblHeader/>
          <w:jc w:val="center"/>
        </w:trPr>
        <w:tc>
          <w:tcPr>
            <w:tcW w:w="2065" w:type="dxa"/>
            <w:shd w:val="clear" w:color="auto" w:fill="C0C0C0"/>
          </w:tcPr>
          <w:p w:rsidR="003A6837" w:rsidRDefault="003A6837">
            <w:pPr>
              <w:pStyle w:val="RTiSWDocTableHeading"/>
            </w:pPr>
            <w:r>
              <w:t>Parameter</w:t>
            </w:r>
          </w:p>
        </w:tc>
        <w:tc>
          <w:tcPr>
            <w:tcW w:w="4631" w:type="dxa"/>
            <w:shd w:val="clear" w:color="auto" w:fill="C0C0C0"/>
          </w:tcPr>
          <w:p w:rsidR="003A6837" w:rsidRDefault="003A6837">
            <w:pPr>
              <w:pStyle w:val="RTiSWDocTableHeading"/>
            </w:pPr>
            <w:r>
              <w:t>Description</w:t>
            </w:r>
          </w:p>
        </w:tc>
        <w:tc>
          <w:tcPr>
            <w:tcW w:w="2595" w:type="dxa"/>
            <w:shd w:val="clear" w:color="auto" w:fill="C0C0C0"/>
          </w:tcPr>
          <w:p w:rsidR="003A6837" w:rsidRDefault="003A6837">
            <w:pPr>
              <w:pStyle w:val="RTiSWDocTableHeading"/>
            </w:pPr>
            <w:r>
              <w:t>Default</w:t>
            </w:r>
          </w:p>
        </w:tc>
      </w:tr>
      <w:tr w:rsidR="005C6989" w:rsidTr="003374A6">
        <w:trPr>
          <w:jc w:val="center"/>
        </w:trPr>
        <w:tc>
          <w:tcPr>
            <w:tcW w:w="2065" w:type="dxa"/>
          </w:tcPr>
          <w:p w:rsidR="005C6989" w:rsidRDefault="005C6989" w:rsidP="003A683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4631" w:type="dxa"/>
          </w:tcPr>
          <w:p w:rsidR="005C6989" w:rsidRDefault="005C6989" w:rsidP="003A6837">
            <w:r>
              <w:t>Indicates the list of time series to be processed, one of:</w:t>
            </w:r>
          </w:p>
          <w:p w:rsidR="005C6989" w:rsidRDefault="005C6989" w:rsidP="003A6837">
            <w:pPr>
              <w:numPr>
                <w:ilvl w:val="0"/>
                <w:numId w:val="1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</w:t>
            </w:r>
            <w:r w:rsidR="00C55321">
              <w:t>processed</w:t>
            </w:r>
            <w:r>
              <w:t>.</w:t>
            </w:r>
          </w:p>
          <w:p w:rsidR="005C6989" w:rsidRDefault="005C6989" w:rsidP="003A6837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before the command.</w:t>
            </w:r>
          </w:p>
          <w:p w:rsidR="005C6989" w:rsidRDefault="005C6989" w:rsidP="003A6837">
            <w:pPr>
              <w:numPr>
                <w:ilvl w:val="0"/>
                <w:numId w:val="1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in the ensemble will be </w:t>
            </w:r>
            <w:r w:rsidR="00C55321">
              <w:t>processed</w:t>
            </w:r>
            <w:r>
              <w:t>.</w:t>
            </w:r>
          </w:p>
          <w:p w:rsidR="0094053C" w:rsidRDefault="0094053C" w:rsidP="0094053C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</w:t>
            </w:r>
            <w:r w:rsidR="00C55321">
              <w:t>processed</w:t>
            </w:r>
            <w:r>
              <w:t>.</w:t>
            </w:r>
          </w:p>
          <w:p w:rsidR="005C6989" w:rsidRDefault="005C6989" w:rsidP="003A6837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</w:t>
            </w:r>
            <w:r w:rsidR="00C55321">
              <w:t>processed</w:t>
            </w:r>
            <w:r>
              <w:t>.</w:t>
            </w:r>
          </w:p>
          <w:p w:rsidR="005C6989" w:rsidRDefault="005C6989" w:rsidP="003A6837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series are those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command.</w:t>
            </w:r>
          </w:p>
        </w:tc>
        <w:tc>
          <w:tcPr>
            <w:tcW w:w="2595" w:type="dxa"/>
          </w:tcPr>
          <w:p w:rsidR="005C6989" w:rsidRDefault="005C6989" w:rsidP="003A683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</w:p>
        </w:tc>
      </w:tr>
      <w:tr w:rsidR="005C6989" w:rsidTr="003374A6">
        <w:trPr>
          <w:jc w:val="center"/>
        </w:trPr>
        <w:tc>
          <w:tcPr>
            <w:tcW w:w="2065" w:type="dxa"/>
          </w:tcPr>
          <w:p w:rsidR="005C6989" w:rsidRDefault="005C6989" w:rsidP="003A683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4631" w:type="dxa"/>
          </w:tcPr>
          <w:p w:rsidR="005C6989" w:rsidRDefault="005C6989" w:rsidP="003A6837">
            <w:r>
              <w:t xml:space="preserve">The time series identifier or alias for the time series to be </w:t>
            </w:r>
            <w:r w:rsidR="00C55321">
              <w:t>processed</w:t>
            </w:r>
            <w:r>
              <w:t xml:space="preserve">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  <w:r w:rsidR="00FE6306">
              <w:t xml:space="preserve">  Can be specified with processor </w:t>
            </w:r>
            <w:r w:rsidR="00FE6306" w:rsidRPr="00FE6306">
              <w:rPr>
                <w:rStyle w:val="RTiSWDocLiteralText"/>
              </w:rPr>
              <w:t>${Property}</w:t>
            </w:r>
            <w:r w:rsidR="00FE6306">
              <w:t>.</w:t>
            </w:r>
          </w:p>
        </w:tc>
        <w:tc>
          <w:tcPr>
            <w:tcW w:w="2595" w:type="dxa"/>
          </w:tcPr>
          <w:p w:rsidR="005C6989" w:rsidRDefault="00DA61CD" w:rsidP="003A6837">
            <w:r>
              <w:t xml:space="preserve">Required if </w:t>
            </w:r>
            <w:proofErr w:type="spellStart"/>
            <w:r w:rsidRPr="00DA61CD">
              <w:rPr>
                <w:rStyle w:val="RTiSWDocLiteralText"/>
              </w:rPr>
              <w:t>TSList</w:t>
            </w:r>
            <w:proofErr w:type="spellEnd"/>
            <w:r w:rsidRPr="00DA61CD">
              <w:rPr>
                <w:rStyle w:val="RTiSWDocLiteralText"/>
              </w:rPr>
              <w:t>=*TSID</w:t>
            </w:r>
            <w:r>
              <w:t>.</w:t>
            </w:r>
          </w:p>
        </w:tc>
      </w:tr>
      <w:tr w:rsidR="005C6989" w:rsidTr="003374A6">
        <w:trPr>
          <w:jc w:val="center"/>
        </w:trPr>
        <w:tc>
          <w:tcPr>
            <w:tcW w:w="2065" w:type="dxa"/>
          </w:tcPr>
          <w:p w:rsidR="005C6989" w:rsidRDefault="005C6989" w:rsidP="003A683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4631" w:type="dxa"/>
          </w:tcPr>
          <w:p w:rsidR="005C6989" w:rsidRDefault="005C6989" w:rsidP="003A6837">
            <w:r>
              <w:t xml:space="preserve">The ensemble to be </w:t>
            </w:r>
            <w:r w:rsidR="00C55321">
              <w:t>processed</w:t>
            </w:r>
            <w:r>
              <w:t>, if processing an ensemble.</w:t>
            </w:r>
            <w:r w:rsidR="00FE6306">
              <w:t xml:space="preserve">  </w:t>
            </w:r>
            <w:r w:rsidR="00FE6306">
              <w:t xml:space="preserve">Can be specified with processor </w:t>
            </w:r>
            <w:r w:rsidR="00FE6306" w:rsidRPr="00FE6306">
              <w:rPr>
                <w:rStyle w:val="RTiSWDocLiteralText"/>
              </w:rPr>
              <w:t>${Property}</w:t>
            </w:r>
            <w:r w:rsidR="00FE6306">
              <w:t>.</w:t>
            </w:r>
          </w:p>
        </w:tc>
        <w:tc>
          <w:tcPr>
            <w:tcW w:w="2595" w:type="dxa"/>
          </w:tcPr>
          <w:p w:rsidR="005C6989" w:rsidRDefault="00DA61CD" w:rsidP="003A6837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DA61CD">
              <w:rPr>
                <w:rStyle w:val="RTiSWDocLiteralText"/>
              </w:rPr>
              <w:t>TSList</w:t>
            </w:r>
            <w:proofErr w:type="spellEnd"/>
            <w:r w:rsidRPr="00DA61CD">
              <w:rPr>
                <w:rStyle w:val="RTiSWDocLiteralText"/>
              </w:rPr>
              <w:t>=</w:t>
            </w:r>
            <w:proofErr w:type="spellStart"/>
            <w:r>
              <w:rPr>
                <w:rStyle w:val="RTiSWDocLiteralText"/>
              </w:rPr>
              <w:t>Ensemble</w:t>
            </w:r>
            <w:r w:rsidRPr="00DA61CD">
              <w:rPr>
                <w:rStyle w:val="RTiSWDocLiteralText"/>
              </w:rPr>
              <w:t>ID</w:t>
            </w:r>
            <w:proofErr w:type="spellEnd"/>
            <w:r>
              <w:t>.</w:t>
            </w:r>
          </w:p>
        </w:tc>
      </w:tr>
      <w:tr w:rsidR="003A6837" w:rsidTr="003374A6">
        <w:trPr>
          <w:jc w:val="center"/>
        </w:trPr>
        <w:tc>
          <w:tcPr>
            <w:tcW w:w="2065" w:type="dxa"/>
          </w:tcPr>
          <w:p w:rsidR="003A6837" w:rsidRDefault="003A683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MinValue</w:t>
            </w:r>
            <w:proofErr w:type="spellEnd"/>
          </w:p>
        </w:tc>
        <w:tc>
          <w:tcPr>
            <w:tcW w:w="4631" w:type="dxa"/>
          </w:tcPr>
          <w:p w:rsidR="003A6837" w:rsidRDefault="003A6837">
            <w:r>
              <w:t>The minimum value to replace.</w:t>
            </w:r>
          </w:p>
        </w:tc>
        <w:tc>
          <w:tcPr>
            <w:tcW w:w="2595" w:type="dxa"/>
          </w:tcPr>
          <w:p w:rsidR="003A6837" w:rsidRDefault="003374A6" w:rsidP="003374A6">
            <w:r>
              <w:t xml:space="preserve">The minimum value and/or </w:t>
            </w:r>
            <w:proofErr w:type="spellStart"/>
            <w:r w:rsidRPr="003374A6">
              <w:rPr>
                <w:rStyle w:val="RTiSWDocLiteralText"/>
              </w:rPr>
              <w:t>MatchFlag</w:t>
            </w:r>
            <w:proofErr w:type="spellEnd"/>
            <w:r>
              <w:t xml:space="preserve"> must be specified.</w:t>
            </w:r>
          </w:p>
        </w:tc>
      </w:tr>
      <w:tr w:rsidR="003A6837" w:rsidTr="003374A6">
        <w:trPr>
          <w:jc w:val="center"/>
        </w:trPr>
        <w:tc>
          <w:tcPr>
            <w:tcW w:w="2065" w:type="dxa"/>
          </w:tcPr>
          <w:p w:rsidR="003A6837" w:rsidRDefault="003A683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MaxValue</w:t>
            </w:r>
            <w:proofErr w:type="spellEnd"/>
          </w:p>
        </w:tc>
        <w:tc>
          <w:tcPr>
            <w:tcW w:w="4631" w:type="dxa"/>
          </w:tcPr>
          <w:p w:rsidR="003A6837" w:rsidRDefault="003A6837">
            <w:r>
              <w:t>The maximum value to replace.</w:t>
            </w:r>
          </w:p>
        </w:tc>
        <w:tc>
          <w:tcPr>
            <w:tcW w:w="2595" w:type="dxa"/>
          </w:tcPr>
          <w:p w:rsidR="003A6837" w:rsidRDefault="003A6837">
            <w:r>
              <w:t>If not specified, only data values that exactly match the minimum value will be replaced.</w:t>
            </w:r>
          </w:p>
        </w:tc>
      </w:tr>
      <w:tr w:rsidR="003374A6" w:rsidTr="003374A6">
        <w:trPr>
          <w:jc w:val="center"/>
        </w:trPr>
        <w:tc>
          <w:tcPr>
            <w:tcW w:w="2065" w:type="dxa"/>
          </w:tcPr>
          <w:p w:rsidR="003374A6" w:rsidRDefault="003374A6" w:rsidP="00401F9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MatchFlag</w:t>
            </w:r>
            <w:proofErr w:type="spellEnd"/>
          </w:p>
        </w:tc>
        <w:tc>
          <w:tcPr>
            <w:tcW w:w="4631" w:type="dxa"/>
          </w:tcPr>
          <w:p w:rsidR="003374A6" w:rsidRDefault="003374A6" w:rsidP="003374A6">
            <w:r>
              <w:t xml:space="preserve">The flag to match.  If specified in addition to </w:t>
            </w:r>
            <w:proofErr w:type="spellStart"/>
            <w:r w:rsidRPr="003374A6">
              <w:rPr>
                <w:rStyle w:val="RTiSWDocLiteralText"/>
              </w:rPr>
              <w:t>MinValue</w:t>
            </w:r>
            <w:proofErr w:type="spellEnd"/>
            <w:r>
              <w:t xml:space="preserve">, then the value and flag must be matched in order to perform the replacement.  A case-sensitive comparison is made and the data value flag must exactly match </w:t>
            </w:r>
            <w:proofErr w:type="spellStart"/>
            <w:r w:rsidRPr="003374A6">
              <w:rPr>
                <w:rStyle w:val="RTiSWDocLiteralText"/>
              </w:rPr>
              <w:t>MatchFlag</w:t>
            </w:r>
            <w:proofErr w:type="spellEnd"/>
            <w:r>
              <w:t>.  In the future additional flexibility may be added to match a substring, etc.</w:t>
            </w:r>
          </w:p>
          <w:p w:rsidR="003374A6" w:rsidRDefault="003374A6" w:rsidP="003374A6"/>
          <w:p w:rsidR="003374A6" w:rsidRDefault="003374A6" w:rsidP="003374A6">
            <w:r>
              <w:t xml:space="preserve">If </w:t>
            </w:r>
            <w:r w:rsidRPr="003374A6">
              <w:rPr>
                <w:rStyle w:val="RTiSWDocLiteralText"/>
              </w:rPr>
              <w:t>Action=</w:t>
            </w:r>
            <w:proofErr w:type="spellStart"/>
            <w:r w:rsidRPr="003374A6">
              <w:rPr>
                <w:rStyle w:val="RTiSWDocLiteralText"/>
              </w:rPr>
              <w:t>SetMissing</w:t>
            </w:r>
            <w:proofErr w:type="spellEnd"/>
            <w:r>
              <w:t xml:space="preserve">, the original data flag value will remain.  Specifying </w:t>
            </w:r>
            <w:proofErr w:type="spellStart"/>
            <w:r w:rsidRPr="003374A6">
              <w:rPr>
                <w:rStyle w:val="RTiSWDocLiteralText"/>
              </w:rPr>
              <w:t>SetFlag</w:t>
            </w:r>
            <w:proofErr w:type="spellEnd"/>
            <w:r>
              <w:t xml:space="preserve"> will result in the original data flag being modified.</w:t>
            </w:r>
          </w:p>
        </w:tc>
        <w:tc>
          <w:tcPr>
            <w:tcW w:w="2595" w:type="dxa"/>
          </w:tcPr>
          <w:p w:rsidR="003374A6" w:rsidRDefault="003374A6" w:rsidP="00401F9E">
            <w:r>
              <w:t xml:space="preserve">The minimum value and/or </w:t>
            </w:r>
            <w:proofErr w:type="spellStart"/>
            <w:r w:rsidRPr="003374A6">
              <w:rPr>
                <w:rStyle w:val="RTiSWDocLiteralText"/>
              </w:rPr>
              <w:t>MatchFlag</w:t>
            </w:r>
            <w:proofErr w:type="spellEnd"/>
            <w:r>
              <w:t xml:space="preserve"> must be specified.</w:t>
            </w:r>
          </w:p>
        </w:tc>
      </w:tr>
      <w:tr w:rsidR="003374A6" w:rsidTr="003374A6">
        <w:trPr>
          <w:jc w:val="center"/>
        </w:trPr>
        <w:tc>
          <w:tcPr>
            <w:tcW w:w="2065" w:type="dxa"/>
          </w:tcPr>
          <w:p w:rsidR="003374A6" w:rsidRDefault="003374A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NewValue</w:t>
            </w:r>
            <w:proofErr w:type="spellEnd"/>
          </w:p>
        </w:tc>
        <w:tc>
          <w:tcPr>
            <w:tcW w:w="4631" w:type="dxa"/>
          </w:tcPr>
          <w:p w:rsidR="003374A6" w:rsidRDefault="003374A6">
            <w:r>
              <w:t>The new data value.</w:t>
            </w:r>
          </w:p>
        </w:tc>
        <w:tc>
          <w:tcPr>
            <w:tcW w:w="2595" w:type="dxa"/>
          </w:tcPr>
          <w:p w:rsidR="003374A6" w:rsidRDefault="003374A6">
            <w:r>
              <w:t xml:space="preserve">Required, unless the </w:t>
            </w:r>
            <w:r w:rsidRPr="00C55321">
              <w:rPr>
                <w:rStyle w:val="RTiSWDocLiteralText"/>
              </w:rPr>
              <w:t>Action</w:t>
            </w:r>
            <w:r>
              <w:t xml:space="preserve"> parameter is specified.</w:t>
            </w:r>
          </w:p>
        </w:tc>
      </w:tr>
      <w:tr w:rsidR="003374A6" w:rsidTr="003374A6">
        <w:trPr>
          <w:jc w:val="center"/>
        </w:trPr>
        <w:tc>
          <w:tcPr>
            <w:tcW w:w="2065" w:type="dxa"/>
          </w:tcPr>
          <w:p w:rsidR="003374A6" w:rsidRDefault="003374A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Action</w:t>
            </w:r>
          </w:p>
        </w:tc>
        <w:tc>
          <w:tcPr>
            <w:tcW w:w="4631" w:type="dxa"/>
          </w:tcPr>
          <w:p w:rsidR="003374A6" w:rsidRDefault="003374A6">
            <w:r>
              <w:t>An additional action to take with values that are matched:</w:t>
            </w:r>
          </w:p>
          <w:p w:rsidR="003374A6" w:rsidRDefault="003374A6" w:rsidP="00C55321">
            <w:pPr>
              <w:numPr>
                <w:ilvl w:val="0"/>
                <w:numId w:val="2"/>
              </w:numPr>
            </w:pPr>
            <w:r w:rsidRPr="00C36480">
              <w:rPr>
                <w:rStyle w:val="RTiSWDocLiteralText"/>
              </w:rPr>
              <w:t>Remove</w:t>
            </w:r>
            <w:r>
              <w:t xml:space="preserve"> – remove the data points.  This can only be specified for irregular interval time series and will be interpreted as </w:t>
            </w:r>
            <w:proofErr w:type="spellStart"/>
            <w:r w:rsidRPr="00C36480">
              <w:rPr>
                <w:rStyle w:val="RTiSWDocLiteralText"/>
              </w:rPr>
              <w:t>SetMissing</w:t>
            </w:r>
            <w:proofErr w:type="spellEnd"/>
            <w:r>
              <w:t xml:space="preserve"> for regular interval time series.</w:t>
            </w:r>
          </w:p>
          <w:p w:rsidR="003374A6" w:rsidRDefault="003374A6" w:rsidP="00C55321">
            <w:pPr>
              <w:numPr>
                <w:ilvl w:val="0"/>
                <w:numId w:val="2"/>
              </w:numPr>
            </w:pPr>
            <w:proofErr w:type="spellStart"/>
            <w:r w:rsidRPr="00C36480">
              <w:rPr>
                <w:rStyle w:val="RTiSWDocLiteralText"/>
              </w:rPr>
              <w:t>SetMissing</w:t>
            </w:r>
            <w:proofErr w:type="spellEnd"/>
            <w:r>
              <w:t xml:space="preserve"> – set values to missing.</w:t>
            </w:r>
          </w:p>
        </w:tc>
        <w:tc>
          <w:tcPr>
            <w:tcW w:w="2595" w:type="dxa"/>
          </w:tcPr>
          <w:p w:rsidR="003374A6" w:rsidRDefault="003374A6">
            <w:r>
              <w:t xml:space="preserve">No additional action is taken and the </w:t>
            </w:r>
            <w:proofErr w:type="spellStart"/>
            <w:r w:rsidRPr="00C55321">
              <w:rPr>
                <w:rStyle w:val="RTiSWDocLiteralText"/>
              </w:rPr>
              <w:t>NewValue</w:t>
            </w:r>
            <w:proofErr w:type="spellEnd"/>
            <w:r>
              <w:t xml:space="preserve"> parameter must be specified.</w:t>
            </w:r>
          </w:p>
        </w:tc>
      </w:tr>
      <w:tr w:rsidR="003374A6" w:rsidTr="003374A6">
        <w:trPr>
          <w:jc w:val="center"/>
        </w:trPr>
        <w:tc>
          <w:tcPr>
            <w:tcW w:w="2065" w:type="dxa"/>
          </w:tcPr>
          <w:p w:rsidR="003374A6" w:rsidRDefault="003374A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SetStart</w:t>
            </w:r>
            <w:proofErr w:type="spellEnd"/>
          </w:p>
        </w:tc>
        <w:tc>
          <w:tcPr>
            <w:tcW w:w="4631" w:type="dxa"/>
          </w:tcPr>
          <w:p w:rsidR="003374A6" w:rsidRDefault="003374A6">
            <w:r>
              <w:t>The date/time to start filling, if other than the full time series period.</w:t>
            </w:r>
            <w:r w:rsidR="00FE6306">
              <w:t xml:space="preserve">  </w:t>
            </w:r>
            <w:r w:rsidR="00FE6306">
              <w:t xml:space="preserve">Can be specified with processor </w:t>
            </w:r>
            <w:r w:rsidR="00FE6306" w:rsidRPr="00FE6306">
              <w:rPr>
                <w:rStyle w:val="RTiSWDocLiteralText"/>
              </w:rPr>
              <w:t>${Property}</w:t>
            </w:r>
            <w:r w:rsidR="00FE6306">
              <w:t>.</w:t>
            </w:r>
          </w:p>
        </w:tc>
        <w:tc>
          <w:tcPr>
            <w:tcW w:w="2595" w:type="dxa"/>
          </w:tcPr>
          <w:p w:rsidR="003374A6" w:rsidRDefault="003374A6">
            <w:r>
              <w:t>Check the full period.</w:t>
            </w:r>
          </w:p>
        </w:tc>
      </w:tr>
      <w:tr w:rsidR="003374A6" w:rsidTr="003374A6">
        <w:trPr>
          <w:jc w:val="center"/>
        </w:trPr>
        <w:tc>
          <w:tcPr>
            <w:tcW w:w="2065" w:type="dxa"/>
          </w:tcPr>
          <w:p w:rsidR="003374A6" w:rsidRDefault="003374A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SetEnd</w:t>
            </w:r>
            <w:proofErr w:type="spellEnd"/>
          </w:p>
        </w:tc>
        <w:tc>
          <w:tcPr>
            <w:tcW w:w="4631" w:type="dxa"/>
          </w:tcPr>
          <w:p w:rsidR="003374A6" w:rsidRDefault="003374A6">
            <w:r>
              <w:t>The date/time to end filling, if other than the full time series period.</w:t>
            </w:r>
            <w:r w:rsidR="00FE6306">
              <w:t xml:space="preserve">  </w:t>
            </w:r>
            <w:r w:rsidR="00FE6306">
              <w:t xml:space="preserve">Can be specified with processor </w:t>
            </w:r>
            <w:r w:rsidR="00FE6306" w:rsidRPr="00FE6306">
              <w:rPr>
                <w:rStyle w:val="RTiSWDocLiteralText"/>
              </w:rPr>
              <w:t>${Property}</w:t>
            </w:r>
            <w:r w:rsidR="00FE6306">
              <w:t>.</w:t>
            </w:r>
          </w:p>
        </w:tc>
        <w:tc>
          <w:tcPr>
            <w:tcW w:w="2595" w:type="dxa"/>
          </w:tcPr>
          <w:p w:rsidR="003374A6" w:rsidRDefault="003374A6">
            <w:r>
              <w:t>Check the full period.</w:t>
            </w:r>
          </w:p>
        </w:tc>
      </w:tr>
      <w:tr w:rsidR="003374A6" w:rsidTr="003374A6">
        <w:trPr>
          <w:jc w:val="center"/>
        </w:trPr>
        <w:tc>
          <w:tcPr>
            <w:tcW w:w="2065" w:type="dxa"/>
          </w:tcPr>
          <w:p w:rsidR="003374A6" w:rsidRDefault="003374A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AnalysisWindow</w:t>
            </w:r>
            <w:proofErr w:type="spellEnd"/>
          </w:p>
          <w:p w:rsidR="003374A6" w:rsidRDefault="003374A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Start</w:t>
            </w:r>
          </w:p>
        </w:tc>
        <w:tc>
          <w:tcPr>
            <w:tcW w:w="4631" w:type="dxa"/>
          </w:tcPr>
          <w:p w:rsidR="003374A6" w:rsidRDefault="003374A6">
            <w:r>
              <w:t>The starting date/time within the calendar year to replace data.  The window CANNOT cross calendar year boundaries (this may be allowed in the future).  Use multiple commands if necessary.</w:t>
            </w:r>
          </w:p>
        </w:tc>
        <w:tc>
          <w:tcPr>
            <w:tcW w:w="2595" w:type="dxa"/>
          </w:tcPr>
          <w:p w:rsidR="003374A6" w:rsidRDefault="003374A6">
            <w:r>
              <w:t>Process each full year.</w:t>
            </w:r>
          </w:p>
        </w:tc>
      </w:tr>
      <w:tr w:rsidR="003374A6" w:rsidTr="003374A6">
        <w:trPr>
          <w:jc w:val="center"/>
        </w:trPr>
        <w:tc>
          <w:tcPr>
            <w:tcW w:w="2065" w:type="dxa"/>
          </w:tcPr>
          <w:p w:rsidR="003374A6" w:rsidRDefault="003374A6" w:rsidP="003650A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AnalysisWindow</w:t>
            </w:r>
            <w:proofErr w:type="spellEnd"/>
          </w:p>
          <w:p w:rsidR="003374A6" w:rsidRDefault="003374A6" w:rsidP="003650A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End</w:t>
            </w:r>
          </w:p>
        </w:tc>
        <w:tc>
          <w:tcPr>
            <w:tcW w:w="4631" w:type="dxa"/>
          </w:tcPr>
          <w:p w:rsidR="003374A6" w:rsidRDefault="003374A6" w:rsidP="003650AD">
            <w:r>
              <w:t>The ending date/time within the calendar year to replace data.</w:t>
            </w:r>
          </w:p>
        </w:tc>
        <w:tc>
          <w:tcPr>
            <w:tcW w:w="2595" w:type="dxa"/>
          </w:tcPr>
          <w:p w:rsidR="003374A6" w:rsidRDefault="003374A6" w:rsidP="003650AD">
            <w:r>
              <w:t>Process each full year.</w:t>
            </w:r>
          </w:p>
        </w:tc>
      </w:tr>
      <w:tr w:rsidR="003374A6" w:rsidTr="003374A6">
        <w:trPr>
          <w:jc w:val="center"/>
        </w:trPr>
        <w:tc>
          <w:tcPr>
            <w:tcW w:w="2065" w:type="dxa"/>
          </w:tcPr>
          <w:p w:rsidR="003374A6" w:rsidRDefault="003374A6" w:rsidP="003650A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SetFlag</w:t>
            </w:r>
            <w:proofErr w:type="spellEnd"/>
          </w:p>
        </w:tc>
        <w:tc>
          <w:tcPr>
            <w:tcW w:w="4631" w:type="dxa"/>
          </w:tcPr>
          <w:p w:rsidR="003374A6" w:rsidRDefault="003374A6" w:rsidP="003650AD">
            <w:r>
              <w:t>A string to assign to data values that are replaced.</w:t>
            </w:r>
          </w:p>
        </w:tc>
        <w:tc>
          <w:tcPr>
            <w:tcW w:w="2595" w:type="dxa"/>
          </w:tcPr>
          <w:p w:rsidR="003374A6" w:rsidRDefault="003374A6" w:rsidP="003650AD">
            <w:r>
              <w:t>Do not assign a string flag.</w:t>
            </w:r>
          </w:p>
        </w:tc>
      </w:tr>
      <w:tr w:rsidR="00FE6306" w:rsidTr="003374A6">
        <w:trPr>
          <w:jc w:val="center"/>
        </w:trPr>
        <w:tc>
          <w:tcPr>
            <w:tcW w:w="2065" w:type="dxa"/>
          </w:tcPr>
          <w:p w:rsidR="00FE6306" w:rsidRDefault="00FE6306" w:rsidP="003650A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SetFlagDesc</w:t>
            </w:r>
            <w:proofErr w:type="spellEnd"/>
          </w:p>
        </w:tc>
        <w:tc>
          <w:tcPr>
            <w:tcW w:w="4631" w:type="dxa"/>
          </w:tcPr>
          <w:p w:rsidR="00FE6306" w:rsidRDefault="00FE6306" w:rsidP="003650AD">
            <w:r>
              <w:t xml:space="preserve">Description for </w:t>
            </w:r>
            <w:bookmarkStart w:id="1" w:name="_GoBack"/>
            <w:proofErr w:type="spellStart"/>
            <w:r w:rsidRPr="00FE6306">
              <w:rPr>
                <w:rStyle w:val="RTiSWDocLiteralText"/>
              </w:rPr>
              <w:t>SetFlag</w:t>
            </w:r>
            <w:bookmarkEnd w:id="1"/>
            <w:proofErr w:type="spellEnd"/>
            <w:r>
              <w:t>, used for data products.</w:t>
            </w:r>
          </w:p>
        </w:tc>
        <w:tc>
          <w:tcPr>
            <w:tcW w:w="2595" w:type="dxa"/>
          </w:tcPr>
          <w:p w:rsidR="00FE6306" w:rsidRDefault="00FE6306" w:rsidP="003650AD">
            <w:r>
              <w:t>Auto-generate.</w:t>
            </w:r>
          </w:p>
        </w:tc>
      </w:tr>
    </w:tbl>
    <w:p w:rsidR="003A6837" w:rsidRDefault="003A6837">
      <w:pPr>
        <w:rPr>
          <w:color w:val="C0C0C0"/>
        </w:rPr>
      </w:pPr>
    </w:p>
    <w:p w:rsidR="003A6837" w:rsidRDefault="005C6989">
      <w:pPr>
        <w:rPr>
          <w:color w:val="000000"/>
        </w:rPr>
      </w:pPr>
      <w:r>
        <w:rPr>
          <w:color w:val="000000"/>
        </w:rPr>
        <w:t>A sample command</w:t>
      </w:r>
      <w:r w:rsidR="003A6837">
        <w:rPr>
          <w:color w:val="000000"/>
        </w:rPr>
        <w:t xml:space="preserve"> file </w:t>
      </w:r>
      <w:r>
        <w:rPr>
          <w:color w:val="000000"/>
        </w:rPr>
        <w:t xml:space="preserve">to process from the State of Colorado’s </w:t>
      </w:r>
      <w:proofErr w:type="spellStart"/>
      <w:r>
        <w:rPr>
          <w:color w:val="000000"/>
        </w:rPr>
        <w:t>HydroBase</w:t>
      </w:r>
      <w:proofErr w:type="spellEnd"/>
      <w:r>
        <w:rPr>
          <w:color w:val="000000"/>
        </w:rPr>
        <w:t xml:space="preserve"> database </w:t>
      </w:r>
      <w:r w:rsidR="003A6837">
        <w:rPr>
          <w:color w:val="000000"/>
        </w:rPr>
        <w:t>is as follows:</w:t>
      </w:r>
    </w:p>
    <w:p w:rsidR="003A6837" w:rsidRDefault="003A6837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8"/>
      </w:tblGrid>
      <w:tr w:rsidR="003A6837">
        <w:trPr>
          <w:jc w:val="center"/>
        </w:trPr>
        <w:tc>
          <w:tcPr>
            <w:tcW w:w="9198" w:type="dxa"/>
          </w:tcPr>
          <w:p w:rsidR="003A6837" w:rsidRDefault="003A6837">
            <w:pPr>
              <w:rPr>
                <w:rFonts w:ascii="Courier New" w:eastAsia="MS Mincho" w:hAnsi="Courier New" w:cs="Courier New"/>
                <w:sz w:val="20"/>
              </w:rPr>
            </w:pPr>
            <w:r>
              <w:rPr>
                <w:rFonts w:ascii="Courier New" w:eastAsia="MS Mincho" w:hAnsi="Courier New" w:cs="Courier New"/>
                <w:sz w:val="20"/>
              </w:rPr>
              <w:t># 08235700 - ALAMOSA RIVER BELOW CASTLEMAN GULCH NEAR JASPER</w:t>
            </w:r>
          </w:p>
          <w:p w:rsidR="003A6837" w:rsidRDefault="003A6837">
            <w:pPr>
              <w:rPr>
                <w:rFonts w:ascii="Courier New" w:eastAsia="MS Mincho" w:hAnsi="Courier New" w:cs="Courier New"/>
                <w:sz w:val="20"/>
              </w:rPr>
            </w:pPr>
            <w:r>
              <w:rPr>
                <w:rFonts w:ascii="Courier New" w:eastAsia="MS Mincho" w:hAnsi="Courier New" w:cs="Courier New"/>
                <w:sz w:val="20"/>
              </w:rPr>
              <w:t>08235700.DWR.Streamflow.Month~HydroBase</w:t>
            </w:r>
          </w:p>
          <w:p w:rsidR="003A6837" w:rsidRDefault="00DA61CD"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eastAsia="MS Mincho" w:hAnsi="Courier New" w:cs="Courier New"/>
                <w:sz w:val="20"/>
              </w:rPr>
              <w:t>R</w:t>
            </w:r>
            <w:r w:rsidR="003A6837">
              <w:rPr>
                <w:rFonts w:ascii="Courier New" w:eastAsia="MS Mincho" w:hAnsi="Courier New" w:cs="Courier New"/>
                <w:sz w:val="20"/>
              </w:rPr>
              <w:t>eplaceValue(</w:t>
            </w:r>
            <w:r>
              <w:rPr>
                <w:rFonts w:ascii="Courier New" w:eastAsia="MS Mincho" w:hAnsi="Courier New" w:cs="Courier New"/>
                <w:sz w:val="20"/>
              </w:rPr>
              <w:t>TSList=AllTS,MinValue=</w:t>
            </w:r>
            <w:r w:rsidR="003A6837">
              <w:rPr>
                <w:rFonts w:ascii="Courier New" w:eastAsia="MS Mincho" w:hAnsi="Courier New" w:cs="Courier New"/>
                <w:sz w:val="20"/>
              </w:rPr>
              <w:t>-100000,</w:t>
            </w:r>
            <w:r>
              <w:rPr>
                <w:rFonts w:ascii="Courier New" w:eastAsia="MS Mincho" w:hAnsi="Courier New" w:cs="Courier New"/>
                <w:sz w:val="20"/>
              </w:rPr>
              <w:t>MaxValue=</w:t>
            </w:r>
            <w:r w:rsidR="003A6837">
              <w:rPr>
                <w:rFonts w:ascii="Courier New" w:eastAsia="MS Mincho" w:hAnsi="Courier New" w:cs="Courier New"/>
                <w:sz w:val="20"/>
              </w:rPr>
              <w:t>0,</w:t>
            </w:r>
            <w:r>
              <w:rPr>
                <w:rFonts w:ascii="Courier New" w:eastAsia="MS Mincho" w:hAnsi="Courier New" w:cs="Courier New"/>
                <w:sz w:val="20"/>
              </w:rPr>
              <w:t>NewValue=</w:t>
            </w:r>
            <w:r w:rsidR="003A6837">
              <w:rPr>
                <w:rFonts w:ascii="Courier New" w:eastAsia="MS Mincho" w:hAnsi="Courier New" w:cs="Courier New"/>
                <w:sz w:val="20"/>
              </w:rPr>
              <w:t>0)</w:t>
            </w:r>
          </w:p>
        </w:tc>
      </w:tr>
      <w:bookmarkEnd w:id="0"/>
    </w:tbl>
    <w:p w:rsidR="003A6837" w:rsidRDefault="003A6837">
      <w:pPr>
        <w:rPr>
          <w:color w:val="C0C0C0"/>
        </w:rPr>
      </w:pPr>
    </w:p>
    <w:p w:rsidR="00EF3502" w:rsidRDefault="00EF3502">
      <w:pPr>
        <w:rPr>
          <w:color w:val="C0C0C0"/>
        </w:rPr>
      </w:pPr>
    </w:p>
    <w:p w:rsidR="00EF3502" w:rsidRDefault="00EF3502">
      <w:pPr>
        <w:rPr>
          <w:color w:val="C0C0C0"/>
        </w:rPr>
      </w:pPr>
    </w:p>
    <w:p w:rsidR="00EF3502" w:rsidRDefault="00EF3502">
      <w:pPr>
        <w:rPr>
          <w:color w:val="C0C0C0"/>
        </w:rPr>
      </w:pPr>
    </w:p>
    <w:p w:rsidR="00EF3502" w:rsidRDefault="00EF3502">
      <w:pPr>
        <w:rPr>
          <w:color w:val="C0C0C0"/>
        </w:rPr>
      </w:pPr>
      <w:r>
        <w:rPr>
          <w:color w:val="C0C0C0"/>
        </w:rPr>
        <w:br w:type="page"/>
      </w:r>
    </w:p>
    <w:p w:rsidR="00EF3502" w:rsidRDefault="00EF3502">
      <w:pPr>
        <w:rPr>
          <w:color w:val="C0C0C0"/>
        </w:rPr>
      </w:pPr>
    </w:p>
    <w:p w:rsidR="00EF3502" w:rsidRDefault="00EF3502">
      <w:pPr>
        <w:rPr>
          <w:color w:val="C0C0C0"/>
        </w:rPr>
      </w:pPr>
    </w:p>
    <w:p w:rsidR="00EF3502" w:rsidRDefault="00EF3502">
      <w:pPr>
        <w:rPr>
          <w:color w:val="C0C0C0"/>
        </w:rPr>
      </w:pPr>
    </w:p>
    <w:p w:rsidR="00EF3502" w:rsidRDefault="00EF3502" w:rsidP="00EF3502">
      <w:pPr>
        <w:jc w:val="center"/>
        <w:rPr>
          <w:color w:val="C0C0C0"/>
        </w:rPr>
      </w:pPr>
      <w:r>
        <w:rPr>
          <w:color w:val="C0C0C0"/>
        </w:rPr>
        <w:t>This page is intentionally blank.</w:t>
      </w:r>
    </w:p>
    <w:sectPr w:rsidR="00EF35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F9A" w:rsidRDefault="006A4F9A">
      <w:r>
        <w:separator/>
      </w:r>
    </w:p>
  </w:endnote>
  <w:endnote w:type="continuationSeparator" w:id="0">
    <w:p w:rsidR="006A4F9A" w:rsidRDefault="006A4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837" w:rsidRDefault="0083722E">
    <w:pPr>
      <w:pStyle w:val="RTiSWDocFooter"/>
    </w:pPr>
    <w:r>
      <w:t xml:space="preserve">Command Reference – </w:t>
    </w:r>
    <w:proofErr w:type="spellStart"/>
    <w:proofErr w:type="gramStart"/>
    <w:r>
      <w:t>R</w:t>
    </w:r>
    <w:r w:rsidR="003A6837">
      <w:t>eplaceValue</w:t>
    </w:r>
    <w:proofErr w:type="spellEnd"/>
    <w:r w:rsidR="003A6837">
      <w:t>(</w:t>
    </w:r>
    <w:proofErr w:type="gramEnd"/>
    <w:r w:rsidR="003A6837">
      <w:t xml:space="preserve">) - </w:t>
    </w:r>
    <w:r w:rsidR="003A6837">
      <w:fldChar w:fldCharType="begin"/>
    </w:r>
    <w:r w:rsidR="003A6837">
      <w:instrText xml:space="preserve"> PAGE </w:instrText>
    </w:r>
    <w:r w:rsidR="003A6837">
      <w:fldChar w:fldCharType="separate"/>
    </w:r>
    <w:r w:rsidR="00FE6306">
      <w:rPr>
        <w:noProof/>
      </w:rPr>
      <w:t>4</w:t>
    </w:r>
    <w:r w:rsidR="003A6837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837" w:rsidRDefault="00EF3502" w:rsidP="00EF3502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>
      <w:t>R</w:t>
    </w:r>
    <w:r w:rsidR="003A6837">
      <w:t>eplaceValue</w:t>
    </w:r>
    <w:proofErr w:type="spellEnd"/>
    <w:r w:rsidR="003A6837">
      <w:t>(</w:t>
    </w:r>
    <w:proofErr w:type="gramEnd"/>
    <w:r w:rsidR="003A6837">
      <w:t xml:space="preserve">) - </w:t>
    </w:r>
    <w:r w:rsidR="003A6837">
      <w:fldChar w:fldCharType="begin"/>
    </w:r>
    <w:r w:rsidR="003A6837">
      <w:instrText xml:space="preserve"> PAGE </w:instrText>
    </w:r>
    <w:r w:rsidR="003A6837">
      <w:fldChar w:fldCharType="separate"/>
    </w:r>
    <w:r w:rsidR="00FE6306">
      <w:rPr>
        <w:noProof/>
      </w:rPr>
      <w:t>3</w:t>
    </w:r>
    <w:r w:rsidR="003A6837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837" w:rsidRDefault="0083722E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>
      <w:t>R</w:t>
    </w:r>
    <w:r w:rsidR="003A6837">
      <w:t>eplaceValue</w:t>
    </w:r>
    <w:proofErr w:type="spellEnd"/>
    <w:r w:rsidR="003A6837">
      <w:t>(</w:t>
    </w:r>
    <w:proofErr w:type="gramEnd"/>
    <w:r w:rsidR="003A6837">
      <w:t xml:space="preserve">) - </w:t>
    </w:r>
    <w:r w:rsidR="003A6837">
      <w:fldChar w:fldCharType="begin"/>
    </w:r>
    <w:r w:rsidR="003A6837">
      <w:instrText xml:space="preserve"> PAGE </w:instrText>
    </w:r>
    <w:r w:rsidR="003A6837">
      <w:fldChar w:fldCharType="separate"/>
    </w:r>
    <w:r w:rsidR="00FE6306">
      <w:rPr>
        <w:noProof/>
      </w:rPr>
      <w:t>1</w:t>
    </w:r>
    <w:r w:rsidR="003A6837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F9A" w:rsidRDefault="006A4F9A">
      <w:r>
        <w:separator/>
      </w:r>
    </w:p>
  </w:footnote>
  <w:footnote w:type="continuationSeparator" w:id="0">
    <w:p w:rsidR="006A4F9A" w:rsidRDefault="006A4F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837" w:rsidRDefault="0083722E">
    <w:pPr>
      <w:pStyle w:val="RTiSWDocHeader"/>
    </w:pPr>
    <w:proofErr w:type="spellStart"/>
    <w:proofErr w:type="gramStart"/>
    <w:r>
      <w:t>R</w:t>
    </w:r>
    <w:r w:rsidR="003A6837">
      <w:t>eplaceValue</w:t>
    </w:r>
    <w:proofErr w:type="spellEnd"/>
    <w:r w:rsidR="003A6837">
      <w:t>(</w:t>
    </w:r>
    <w:proofErr w:type="gramEnd"/>
    <w:r w:rsidR="003A6837">
      <w:t>) Command</w:t>
    </w:r>
    <w:r w:rsidR="003A6837">
      <w:tab/>
    </w:r>
    <w:r w:rsidR="003A6837">
      <w:tab/>
    </w:r>
    <w:proofErr w:type="spellStart"/>
    <w:r w:rsidR="003A6837">
      <w:t>TSTool</w:t>
    </w:r>
    <w:proofErr w:type="spellEnd"/>
    <w:r w:rsidR="003A6837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837" w:rsidRDefault="003A6837" w:rsidP="00EF3502">
    <w:pPr>
      <w:pStyle w:val="RTiSWDocHeader"/>
    </w:pPr>
    <w:proofErr w:type="spellStart"/>
    <w:r>
      <w:t>TSTool</w:t>
    </w:r>
    <w:proofErr w:type="spellEnd"/>
    <w:r>
      <w:t xml:space="preserve"> Documentation</w:t>
    </w:r>
    <w:r w:rsidR="00EF3502">
      <w:tab/>
    </w:r>
    <w:r w:rsidR="00EF3502">
      <w:tab/>
    </w:r>
    <w:proofErr w:type="spellStart"/>
    <w:proofErr w:type="gramStart"/>
    <w:r w:rsidR="00EF3502">
      <w:t>R</w:t>
    </w:r>
    <w:r>
      <w:t>eplaceValue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837" w:rsidRDefault="003A6837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F92B3E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C8E90E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2A316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3B6965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52EDD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76A5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0E8152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6259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5EE92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9C015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7B758E"/>
    <w:multiLevelType w:val="hybridMultilevel"/>
    <w:tmpl w:val="343C54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22E"/>
    <w:rsid w:val="000B0895"/>
    <w:rsid w:val="001E7BBC"/>
    <w:rsid w:val="00236134"/>
    <w:rsid w:val="002C3FA2"/>
    <w:rsid w:val="003374A6"/>
    <w:rsid w:val="003650AD"/>
    <w:rsid w:val="003A6837"/>
    <w:rsid w:val="00401F9E"/>
    <w:rsid w:val="00410849"/>
    <w:rsid w:val="0054675F"/>
    <w:rsid w:val="005C6989"/>
    <w:rsid w:val="005E0E2A"/>
    <w:rsid w:val="0063237C"/>
    <w:rsid w:val="006A4F9A"/>
    <w:rsid w:val="007B278B"/>
    <w:rsid w:val="007E5792"/>
    <w:rsid w:val="0083722E"/>
    <w:rsid w:val="0094053C"/>
    <w:rsid w:val="00A252D1"/>
    <w:rsid w:val="00B3344B"/>
    <w:rsid w:val="00BD6DEE"/>
    <w:rsid w:val="00C36480"/>
    <w:rsid w:val="00C55321"/>
    <w:rsid w:val="00CA770D"/>
    <w:rsid w:val="00D919F9"/>
    <w:rsid w:val="00DA61CD"/>
    <w:rsid w:val="00DC2D7F"/>
    <w:rsid w:val="00E46119"/>
    <w:rsid w:val="00EC19BA"/>
    <w:rsid w:val="00EF3502"/>
    <w:rsid w:val="00FE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54B8E8-2533-4498-BA79-CDE77FE34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410849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410849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DA61CD"/>
    <w:rPr>
      <w:color w:val="800080"/>
      <w:u w:val="single"/>
    </w:rPr>
  </w:style>
  <w:style w:type="paragraph" w:styleId="BalloonText">
    <w:name w:val="Balloon Text"/>
    <w:basedOn w:val="Normal"/>
    <w:semiHidden/>
    <w:rsid w:val="00C36480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C36480"/>
    <w:pPr>
      <w:spacing w:after="120"/>
      <w:ind w:left="1440" w:right="1440"/>
    </w:pPr>
  </w:style>
  <w:style w:type="paragraph" w:styleId="BodyText">
    <w:name w:val="Body Text"/>
    <w:basedOn w:val="Normal"/>
    <w:rsid w:val="00C36480"/>
    <w:pPr>
      <w:spacing w:after="120"/>
    </w:pPr>
  </w:style>
  <w:style w:type="paragraph" w:styleId="BodyText2">
    <w:name w:val="Body Text 2"/>
    <w:basedOn w:val="Normal"/>
    <w:rsid w:val="00C36480"/>
    <w:pPr>
      <w:spacing w:after="120" w:line="480" w:lineRule="auto"/>
    </w:pPr>
  </w:style>
  <w:style w:type="paragraph" w:styleId="BodyText3">
    <w:name w:val="Body Text 3"/>
    <w:basedOn w:val="Normal"/>
    <w:rsid w:val="00C36480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C36480"/>
    <w:pPr>
      <w:ind w:firstLine="210"/>
    </w:pPr>
  </w:style>
  <w:style w:type="paragraph" w:styleId="BodyTextIndent">
    <w:name w:val="Body Text Indent"/>
    <w:basedOn w:val="Normal"/>
    <w:rsid w:val="00C36480"/>
    <w:pPr>
      <w:spacing w:after="120"/>
      <w:ind w:left="360"/>
    </w:pPr>
  </w:style>
  <w:style w:type="paragraph" w:styleId="BodyTextFirstIndent2">
    <w:name w:val="Body Text First Indent 2"/>
    <w:basedOn w:val="BodyTextIndent"/>
    <w:rsid w:val="00C36480"/>
    <w:pPr>
      <w:ind w:firstLine="210"/>
    </w:pPr>
  </w:style>
  <w:style w:type="paragraph" w:styleId="BodyTextIndent2">
    <w:name w:val="Body Text Indent 2"/>
    <w:basedOn w:val="Normal"/>
    <w:rsid w:val="00C36480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C36480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C36480"/>
    <w:rPr>
      <w:b/>
      <w:bCs/>
      <w:sz w:val="20"/>
    </w:rPr>
  </w:style>
  <w:style w:type="paragraph" w:styleId="Closing">
    <w:name w:val="Closing"/>
    <w:basedOn w:val="Normal"/>
    <w:rsid w:val="00C36480"/>
    <w:pPr>
      <w:ind w:left="4320"/>
    </w:pPr>
  </w:style>
  <w:style w:type="paragraph" w:styleId="CommentText">
    <w:name w:val="annotation text"/>
    <w:basedOn w:val="Normal"/>
    <w:semiHidden/>
    <w:rsid w:val="00C36480"/>
    <w:rPr>
      <w:sz w:val="20"/>
    </w:rPr>
  </w:style>
  <w:style w:type="paragraph" w:styleId="CommentSubject">
    <w:name w:val="annotation subject"/>
    <w:basedOn w:val="CommentText"/>
    <w:next w:val="CommentText"/>
    <w:semiHidden/>
    <w:rsid w:val="00C36480"/>
    <w:rPr>
      <w:b/>
      <w:bCs/>
    </w:rPr>
  </w:style>
  <w:style w:type="paragraph" w:styleId="Date">
    <w:name w:val="Date"/>
    <w:basedOn w:val="Normal"/>
    <w:next w:val="Normal"/>
    <w:rsid w:val="00C36480"/>
  </w:style>
  <w:style w:type="paragraph" w:styleId="DocumentMap">
    <w:name w:val="Document Map"/>
    <w:basedOn w:val="Normal"/>
    <w:semiHidden/>
    <w:rsid w:val="00C36480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C36480"/>
  </w:style>
  <w:style w:type="paragraph" w:styleId="EndnoteText">
    <w:name w:val="endnote text"/>
    <w:basedOn w:val="Normal"/>
    <w:semiHidden/>
    <w:rsid w:val="00C36480"/>
    <w:rPr>
      <w:sz w:val="20"/>
    </w:rPr>
  </w:style>
  <w:style w:type="paragraph" w:styleId="EnvelopeAddress">
    <w:name w:val="envelope address"/>
    <w:basedOn w:val="Normal"/>
    <w:rsid w:val="00C36480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C36480"/>
    <w:rPr>
      <w:rFonts w:ascii="Arial" w:hAnsi="Arial" w:cs="Arial"/>
      <w:sz w:val="20"/>
    </w:rPr>
  </w:style>
  <w:style w:type="paragraph" w:styleId="Footer">
    <w:name w:val="footer"/>
    <w:basedOn w:val="Normal"/>
    <w:rsid w:val="00C36480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C36480"/>
    <w:rPr>
      <w:sz w:val="20"/>
    </w:rPr>
  </w:style>
  <w:style w:type="paragraph" w:styleId="Header">
    <w:name w:val="header"/>
    <w:basedOn w:val="Normal"/>
    <w:rsid w:val="00C36480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C36480"/>
    <w:rPr>
      <w:i/>
      <w:iCs/>
    </w:rPr>
  </w:style>
  <w:style w:type="paragraph" w:styleId="HTMLPreformatted">
    <w:name w:val="HTML Preformatted"/>
    <w:basedOn w:val="Normal"/>
    <w:rsid w:val="00C36480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C36480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C36480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C36480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C36480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C36480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C36480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C36480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C36480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C36480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C36480"/>
    <w:rPr>
      <w:rFonts w:ascii="Arial" w:hAnsi="Arial" w:cs="Arial"/>
      <w:b/>
      <w:bCs/>
    </w:rPr>
  </w:style>
  <w:style w:type="paragraph" w:styleId="List">
    <w:name w:val="List"/>
    <w:basedOn w:val="Normal"/>
    <w:rsid w:val="00C36480"/>
    <w:pPr>
      <w:ind w:left="360" w:hanging="360"/>
    </w:pPr>
  </w:style>
  <w:style w:type="paragraph" w:styleId="List2">
    <w:name w:val="List 2"/>
    <w:basedOn w:val="Normal"/>
    <w:rsid w:val="00C36480"/>
    <w:pPr>
      <w:ind w:left="720" w:hanging="360"/>
    </w:pPr>
  </w:style>
  <w:style w:type="paragraph" w:styleId="List3">
    <w:name w:val="List 3"/>
    <w:basedOn w:val="Normal"/>
    <w:rsid w:val="00C36480"/>
    <w:pPr>
      <w:ind w:left="1080" w:hanging="360"/>
    </w:pPr>
  </w:style>
  <w:style w:type="paragraph" w:styleId="List4">
    <w:name w:val="List 4"/>
    <w:basedOn w:val="Normal"/>
    <w:rsid w:val="00C36480"/>
    <w:pPr>
      <w:ind w:left="1440" w:hanging="360"/>
    </w:pPr>
  </w:style>
  <w:style w:type="paragraph" w:styleId="List5">
    <w:name w:val="List 5"/>
    <w:basedOn w:val="Normal"/>
    <w:rsid w:val="00C36480"/>
    <w:pPr>
      <w:ind w:left="1800" w:hanging="360"/>
    </w:pPr>
  </w:style>
  <w:style w:type="paragraph" w:styleId="ListBullet">
    <w:name w:val="List Bullet"/>
    <w:basedOn w:val="Normal"/>
    <w:rsid w:val="00C36480"/>
    <w:pPr>
      <w:numPr>
        <w:numId w:val="3"/>
      </w:numPr>
    </w:pPr>
  </w:style>
  <w:style w:type="paragraph" w:styleId="ListBullet2">
    <w:name w:val="List Bullet 2"/>
    <w:basedOn w:val="Normal"/>
    <w:rsid w:val="00C36480"/>
    <w:pPr>
      <w:numPr>
        <w:numId w:val="4"/>
      </w:numPr>
    </w:pPr>
  </w:style>
  <w:style w:type="paragraph" w:styleId="ListBullet3">
    <w:name w:val="List Bullet 3"/>
    <w:basedOn w:val="Normal"/>
    <w:rsid w:val="00C36480"/>
    <w:pPr>
      <w:numPr>
        <w:numId w:val="5"/>
      </w:numPr>
    </w:pPr>
  </w:style>
  <w:style w:type="paragraph" w:styleId="ListBullet4">
    <w:name w:val="List Bullet 4"/>
    <w:basedOn w:val="Normal"/>
    <w:rsid w:val="00C36480"/>
    <w:pPr>
      <w:numPr>
        <w:numId w:val="6"/>
      </w:numPr>
    </w:pPr>
  </w:style>
  <w:style w:type="paragraph" w:styleId="ListBullet5">
    <w:name w:val="List Bullet 5"/>
    <w:basedOn w:val="Normal"/>
    <w:rsid w:val="00C36480"/>
    <w:pPr>
      <w:numPr>
        <w:numId w:val="7"/>
      </w:numPr>
    </w:pPr>
  </w:style>
  <w:style w:type="paragraph" w:styleId="ListContinue">
    <w:name w:val="List Continue"/>
    <w:basedOn w:val="Normal"/>
    <w:rsid w:val="00C36480"/>
    <w:pPr>
      <w:spacing w:after="120"/>
      <w:ind w:left="360"/>
    </w:pPr>
  </w:style>
  <w:style w:type="paragraph" w:styleId="ListContinue2">
    <w:name w:val="List Continue 2"/>
    <w:basedOn w:val="Normal"/>
    <w:rsid w:val="00C36480"/>
    <w:pPr>
      <w:spacing w:after="120"/>
      <w:ind w:left="720"/>
    </w:pPr>
  </w:style>
  <w:style w:type="paragraph" w:styleId="ListContinue3">
    <w:name w:val="List Continue 3"/>
    <w:basedOn w:val="Normal"/>
    <w:rsid w:val="00C36480"/>
    <w:pPr>
      <w:spacing w:after="120"/>
      <w:ind w:left="1080"/>
    </w:pPr>
  </w:style>
  <w:style w:type="paragraph" w:styleId="ListContinue4">
    <w:name w:val="List Continue 4"/>
    <w:basedOn w:val="Normal"/>
    <w:rsid w:val="00C36480"/>
    <w:pPr>
      <w:spacing w:after="120"/>
      <w:ind w:left="1440"/>
    </w:pPr>
  </w:style>
  <w:style w:type="paragraph" w:styleId="ListContinue5">
    <w:name w:val="List Continue 5"/>
    <w:basedOn w:val="Normal"/>
    <w:rsid w:val="00C36480"/>
    <w:pPr>
      <w:spacing w:after="120"/>
      <w:ind w:left="1800"/>
    </w:pPr>
  </w:style>
  <w:style w:type="paragraph" w:styleId="ListNumber">
    <w:name w:val="List Number"/>
    <w:basedOn w:val="Normal"/>
    <w:rsid w:val="00C36480"/>
    <w:pPr>
      <w:numPr>
        <w:numId w:val="8"/>
      </w:numPr>
    </w:pPr>
  </w:style>
  <w:style w:type="paragraph" w:styleId="ListNumber2">
    <w:name w:val="List Number 2"/>
    <w:basedOn w:val="Normal"/>
    <w:rsid w:val="00C36480"/>
    <w:pPr>
      <w:numPr>
        <w:numId w:val="9"/>
      </w:numPr>
    </w:pPr>
  </w:style>
  <w:style w:type="paragraph" w:styleId="ListNumber3">
    <w:name w:val="List Number 3"/>
    <w:basedOn w:val="Normal"/>
    <w:rsid w:val="00C36480"/>
    <w:pPr>
      <w:numPr>
        <w:numId w:val="10"/>
      </w:numPr>
    </w:pPr>
  </w:style>
  <w:style w:type="paragraph" w:styleId="ListNumber4">
    <w:name w:val="List Number 4"/>
    <w:basedOn w:val="Normal"/>
    <w:rsid w:val="00C36480"/>
    <w:pPr>
      <w:numPr>
        <w:numId w:val="11"/>
      </w:numPr>
    </w:pPr>
  </w:style>
  <w:style w:type="paragraph" w:styleId="ListNumber5">
    <w:name w:val="List Number 5"/>
    <w:basedOn w:val="Normal"/>
    <w:rsid w:val="00C36480"/>
    <w:pPr>
      <w:numPr>
        <w:numId w:val="12"/>
      </w:numPr>
    </w:pPr>
  </w:style>
  <w:style w:type="paragraph" w:styleId="MacroText">
    <w:name w:val="macro"/>
    <w:semiHidden/>
    <w:rsid w:val="00C364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C3648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C36480"/>
    <w:rPr>
      <w:sz w:val="24"/>
      <w:szCs w:val="24"/>
    </w:rPr>
  </w:style>
  <w:style w:type="paragraph" w:styleId="NormalIndent">
    <w:name w:val="Normal Indent"/>
    <w:basedOn w:val="Normal"/>
    <w:rsid w:val="00C36480"/>
    <w:pPr>
      <w:ind w:left="720"/>
    </w:pPr>
  </w:style>
  <w:style w:type="paragraph" w:styleId="NoteHeading">
    <w:name w:val="Note Heading"/>
    <w:basedOn w:val="Normal"/>
    <w:next w:val="Normal"/>
    <w:rsid w:val="00C36480"/>
  </w:style>
  <w:style w:type="paragraph" w:styleId="PlainText">
    <w:name w:val="Plain Text"/>
    <w:basedOn w:val="Normal"/>
    <w:rsid w:val="00C36480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C36480"/>
  </w:style>
  <w:style w:type="paragraph" w:styleId="Signature">
    <w:name w:val="Signature"/>
    <w:basedOn w:val="Normal"/>
    <w:rsid w:val="00C36480"/>
    <w:pPr>
      <w:ind w:left="4320"/>
    </w:pPr>
  </w:style>
  <w:style w:type="paragraph" w:styleId="Subtitle">
    <w:name w:val="Subtitle"/>
    <w:basedOn w:val="Normal"/>
    <w:qFormat/>
    <w:rsid w:val="00C3648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C3648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C36480"/>
  </w:style>
  <w:style w:type="paragraph" w:styleId="Title">
    <w:name w:val="Title"/>
    <w:basedOn w:val="Normal"/>
    <w:qFormat/>
    <w:rsid w:val="00C3648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C3648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C36480"/>
  </w:style>
  <w:style w:type="paragraph" w:styleId="TOC2">
    <w:name w:val="toc 2"/>
    <w:basedOn w:val="Normal"/>
    <w:next w:val="Normal"/>
    <w:autoRedefine/>
    <w:semiHidden/>
    <w:rsid w:val="00C36480"/>
    <w:pPr>
      <w:ind w:left="220"/>
    </w:pPr>
  </w:style>
  <w:style w:type="paragraph" w:styleId="TOC3">
    <w:name w:val="toc 3"/>
    <w:basedOn w:val="Normal"/>
    <w:next w:val="Normal"/>
    <w:autoRedefine/>
    <w:semiHidden/>
    <w:rsid w:val="00C36480"/>
    <w:pPr>
      <w:ind w:left="440"/>
    </w:pPr>
  </w:style>
  <w:style w:type="paragraph" w:styleId="TOC4">
    <w:name w:val="toc 4"/>
    <w:basedOn w:val="Normal"/>
    <w:next w:val="Normal"/>
    <w:autoRedefine/>
    <w:semiHidden/>
    <w:rsid w:val="00C36480"/>
    <w:pPr>
      <w:ind w:left="660"/>
    </w:pPr>
  </w:style>
  <w:style w:type="paragraph" w:styleId="TOC5">
    <w:name w:val="toc 5"/>
    <w:basedOn w:val="Normal"/>
    <w:next w:val="Normal"/>
    <w:autoRedefine/>
    <w:semiHidden/>
    <w:rsid w:val="00C36480"/>
    <w:pPr>
      <w:ind w:left="880"/>
    </w:pPr>
  </w:style>
  <w:style w:type="paragraph" w:styleId="TOC6">
    <w:name w:val="toc 6"/>
    <w:basedOn w:val="Normal"/>
    <w:next w:val="Normal"/>
    <w:autoRedefine/>
    <w:semiHidden/>
    <w:rsid w:val="00C36480"/>
    <w:pPr>
      <w:ind w:left="1100"/>
    </w:pPr>
  </w:style>
  <w:style w:type="paragraph" w:styleId="TOC7">
    <w:name w:val="toc 7"/>
    <w:basedOn w:val="Normal"/>
    <w:next w:val="Normal"/>
    <w:autoRedefine/>
    <w:semiHidden/>
    <w:rsid w:val="00C36480"/>
    <w:pPr>
      <w:ind w:left="1320"/>
    </w:pPr>
  </w:style>
  <w:style w:type="paragraph" w:styleId="TOC8">
    <w:name w:val="toc 8"/>
    <w:basedOn w:val="Normal"/>
    <w:next w:val="Normal"/>
    <w:autoRedefine/>
    <w:semiHidden/>
    <w:rsid w:val="00C36480"/>
    <w:pPr>
      <w:ind w:left="1540"/>
    </w:pPr>
  </w:style>
  <w:style w:type="paragraph" w:styleId="TOC9">
    <w:name w:val="toc 9"/>
    <w:basedOn w:val="Normal"/>
    <w:next w:val="Normal"/>
    <w:autoRedefine/>
    <w:semiHidden/>
    <w:rsid w:val="00C36480"/>
    <w:pPr>
      <w:ind w:left="17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EF3502"/>
  </w:style>
  <w:style w:type="paragraph" w:styleId="IntenseQuote">
    <w:name w:val="Intense Quote"/>
    <w:basedOn w:val="Normal"/>
    <w:next w:val="Normal"/>
    <w:link w:val="IntenseQuoteChar"/>
    <w:uiPriority w:val="30"/>
    <w:qFormat/>
    <w:rsid w:val="00EF350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502"/>
    <w:rPr>
      <w:b/>
      <w:bCs/>
      <w:i/>
      <w:iCs/>
      <w:color w:val="4F81BD"/>
      <w:sz w:val="22"/>
    </w:rPr>
  </w:style>
  <w:style w:type="paragraph" w:styleId="ListParagraph">
    <w:name w:val="List Paragraph"/>
    <w:basedOn w:val="Normal"/>
    <w:uiPriority w:val="34"/>
    <w:qFormat/>
    <w:rsid w:val="00EF3502"/>
    <w:pPr>
      <w:ind w:left="720"/>
    </w:pPr>
  </w:style>
  <w:style w:type="paragraph" w:styleId="NoSpacing">
    <w:name w:val="No Spacing"/>
    <w:uiPriority w:val="1"/>
    <w:qFormat/>
    <w:rsid w:val="00EF3502"/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F3502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F3502"/>
    <w:rPr>
      <w:i/>
      <w:iCs/>
      <w:color w:val="00000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3502"/>
    <w:pPr>
      <w:spacing w:before="240" w:after="60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4180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3</cp:revision>
  <cp:lastPrinted>2004-02-15T20:50:00Z</cp:lastPrinted>
  <dcterms:created xsi:type="dcterms:W3CDTF">2015-06-08T22:08:00Z</dcterms:created>
  <dcterms:modified xsi:type="dcterms:W3CDTF">2015-06-08T22:21:00Z</dcterms:modified>
</cp:coreProperties>
</file>