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7B5F" w:rsidRDefault="005A23A2">
      <w:pPr>
        <w:pStyle w:val="RTiSWDocChapterTitle"/>
      </w:pPr>
      <w:r>
        <w:t xml:space="preserve">Command Reference:  </w:t>
      </w:r>
      <w:proofErr w:type="spellStart"/>
      <w:r>
        <w:t>S</w:t>
      </w:r>
      <w:r w:rsidR="00197B5F">
        <w:t>etDebugLevel</w:t>
      </w:r>
      <w:proofErr w:type="spellEnd"/>
      <w:r w:rsidR="00197B5F">
        <w:t>()</w:t>
      </w:r>
    </w:p>
    <w:p w:rsidR="00197B5F" w:rsidRDefault="00197B5F">
      <w:pPr>
        <w:pStyle w:val="RTiSWDocChapterSubtitle"/>
      </w:pPr>
      <w:r>
        <w:t xml:space="preserve">Set </w:t>
      </w:r>
      <w:r w:rsidR="005A23A2">
        <w:t>l</w:t>
      </w:r>
      <w:r>
        <w:t xml:space="preserve">evel for </w:t>
      </w:r>
      <w:r w:rsidR="005A23A2">
        <w:t>d</w:t>
      </w:r>
      <w:r>
        <w:t xml:space="preserve">ebug </w:t>
      </w:r>
      <w:r w:rsidR="005A23A2">
        <w:t>m</w:t>
      </w:r>
      <w:r>
        <w:t>essages</w:t>
      </w:r>
    </w:p>
    <w:p w:rsidR="00197B5F" w:rsidRDefault="00197B5F">
      <w:pPr>
        <w:pStyle w:val="RTiSWDocNote"/>
      </w:pPr>
      <w:r>
        <w:t xml:space="preserve">Version </w:t>
      </w:r>
      <w:r w:rsidR="00242B18">
        <w:t>11</w:t>
      </w:r>
      <w:r>
        <w:t>.</w:t>
      </w:r>
      <w:r w:rsidR="005A23A2">
        <w:t>1</w:t>
      </w:r>
      <w:r w:rsidR="00242B18">
        <w:t>0</w:t>
      </w:r>
      <w:r>
        <w:t>.0</w:t>
      </w:r>
      <w:r w:rsidR="005A23A2">
        <w:t>0</w:t>
      </w:r>
      <w:r>
        <w:t>, 20</w:t>
      </w:r>
      <w:r w:rsidR="00242B18">
        <w:t>16</w:t>
      </w:r>
      <w:r>
        <w:t>-0</w:t>
      </w:r>
      <w:r w:rsidR="00242B18">
        <w:t>3</w:t>
      </w:r>
      <w:r>
        <w:t>-</w:t>
      </w:r>
      <w:r w:rsidR="00242B18">
        <w:t>31</w:t>
      </w:r>
    </w:p>
    <w:p w:rsidR="00197B5F" w:rsidRDefault="00197B5F"/>
    <w:p w:rsidR="00197B5F" w:rsidRDefault="00197B5F"/>
    <w:p w:rsidR="005A23A2" w:rsidRDefault="00197B5F" w:rsidP="005A23A2">
      <w:r>
        <w:t xml:space="preserve">The </w:t>
      </w:r>
      <w:proofErr w:type="spellStart"/>
      <w:proofErr w:type="gramStart"/>
      <w:r w:rsidR="00242B18">
        <w:rPr>
          <w:rStyle w:val="RTiSWDocLiteralText"/>
        </w:rPr>
        <w:t>S</w:t>
      </w:r>
      <w:r>
        <w:rPr>
          <w:rStyle w:val="RTiSWDocLiteralText"/>
        </w:rPr>
        <w:t>etDebugLevel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sets the debug levels for screen and log file diagnostic messages.  This command can be used multiple times with different debug level (e.g., to isolate a problem).</w:t>
      </w:r>
      <w:r w:rsidR="005A23A2">
        <w:t xml:space="preserve">  Currently the debug level applies to all components.  In the future logging control may be grouped by component.  Levels are not completely consistent but the following guidelines can be followed:</w:t>
      </w:r>
    </w:p>
    <w:p w:rsidR="005A23A2" w:rsidRDefault="005A23A2" w:rsidP="005A23A2"/>
    <w:p w:rsidR="005A23A2" w:rsidRDefault="005A23A2" w:rsidP="005A23A2">
      <w:r>
        <w:t>0 = no messages</w:t>
      </w:r>
    </w:p>
    <w:p w:rsidR="005A23A2" w:rsidRDefault="005A23A2" w:rsidP="005A23A2">
      <w:r>
        <w:t>1 = important messages generated in applications</w:t>
      </w:r>
    </w:p>
    <w:p w:rsidR="005A23A2" w:rsidRDefault="005A23A2" w:rsidP="005A23A2">
      <w:r>
        <w:t>2 = important messages generated in commands</w:t>
      </w:r>
    </w:p>
    <w:p w:rsidR="005A23A2" w:rsidRDefault="005A23A2" w:rsidP="005A23A2">
      <w:r>
        <w:t>3+ = messages generated in commands that may explain other problems</w:t>
      </w:r>
    </w:p>
    <w:p w:rsidR="005A23A2" w:rsidRDefault="005A23A2" w:rsidP="005A23A2">
      <w:r>
        <w:t>10+ = messages in processing code that may still be useful to end users</w:t>
      </w:r>
    </w:p>
    <w:p w:rsidR="005A23A2" w:rsidRDefault="005A23A2">
      <w:r>
        <w:t>30+ = low-level messages, for example generated while reading from files or databases</w:t>
      </w:r>
    </w:p>
    <w:p w:rsidR="005A23A2" w:rsidRDefault="005A23A2"/>
    <w:p w:rsidR="00197B5F" w:rsidRDefault="005A23A2">
      <w:r>
        <w:t>T</w:t>
      </w:r>
      <w:r w:rsidR="00197B5F">
        <w:t>he following dialog is used to edit this command and illustrates the command syntax.</w:t>
      </w:r>
    </w:p>
    <w:p w:rsidR="00197B5F" w:rsidRDefault="00197B5F"/>
    <w:p w:rsidR="00197B5F" w:rsidRDefault="00242B18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2788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SetDebugLev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7B5F" w:rsidRDefault="005A23A2">
      <w:pPr>
        <w:pStyle w:val="RTiSWDocNote"/>
      </w:pPr>
      <w:proofErr w:type="spellStart"/>
      <w:r>
        <w:t>S</w:t>
      </w:r>
      <w:r w:rsidR="00197B5F">
        <w:t>etDebugLevel</w:t>
      </w:r>
      <w:proofErr w:type="spellEnd"/>
    </w:p>
    <w:p w:rsidR="00197B5F" w:rsidRDefault="005A23A2">
      <w:pPr>
        <w:pStyle w:val="RTiSWDocFigureTableTitle"/>
      </w:pPr>
      <w:proofErr w:type="spellStart"/>
      <w:r>
        <w:t>S</w:t>
      </w:r>
      <w:r w:rsidR="00197B5F">
        <w:t>etDebugLevel</w:t>
      </w:r>
      <w:proofErr w:type="spellEnd"/>
      <w:r w:rsidR="00197B5F">
        <w:t>() Command Editor</w:t>
      </w:r>
    </w:p>
    <w:p w:rsidR="00197B5F" w:rsidRDefault="00197B5F">
      <w:pPr>
        <w:numPr>
          <w:ilvl w:val="12"/>
          <w:numId w:val="0"/>
        </w:numPr>
      </w:pPr>
      <w:bookmarkStart w:id="1" w:name="replaceValue"/>
    </w:p>
    <w:p w:rsidR="00197B5F" w:rsidRDefault="005A23A2">
      <w:r>
        <w:br w:type="page"/>
      </w:r>
      <w:r w:rsidR="00197B5F">
        <w:lastRenderedPageBreak/>
        <w:t>The command syntax is as follows:</w:t>
      </w:r>
    </w:p>
    <w:p w:rsidR="00197B5F" w:rsidRDefault="00197B5F"/>
    <w:p w:rsidR="00197B5F" w:rsidRDefault="005A23A2">
      <w:pPr>
        <w:ind w:left="720"/>
        <w:rPr>
          <w:rStyle w:val="RTiSWDocLiteralText"/>
        </w:rPr>
      </w:pPr>
      <w:proofErr w:type="spellStart"/>
      <w:r>
        <w:rPr>
          <w:rStyle w:val="RTiSWDocLiteralText"/>
        </w:rPr>
        <w:t>S</w:t>
      </w:r>
      <w:r w:rsidR="00197B5F">
        <w:rPr>
          <w:rStyle w:val="RTiSWDocLiteralText"/>
        </w:rPr>
        <w:t>etDebugLevel</w:t>
      </w:r>
      <w:proofErr w:type="spellEnd"/>
      <w:r w:rsidR="00197B5F">
        <w:rPr>
          <w:rStyle w:val="RTiSWDocLiteralText"/>
        </w:rPr>
        <w:t>(</w:t>
      </w:r>
      <w:r>
        <w:rPr>
          <w:rStyle w:val="RTiSWDocLiteralText"/>
        </w:rPr>
        <w:t>Parameter=Value,…</w:t>
      </w:r>
      <w:r w:rsidR="00197B5F">
        <w:rPr>
          <w:rStyle w:val="RTiSWDocLiteralText"/>
        </w:rPr>
        <w:t>)</w:t>
      </w:r>
    </w:p>
    <w:p w:rsidR="00197B5F" w:rsidRDefault="00197B5F"/>
    <w:p w:rsidR="00197B5F" w:rsidRDefault="00197B5F">
      <w:pPr>
        <w:pStyle w:val="RTiSWDocFigureTableTitle"/>
      </w:pPr>
      <w:r>
        <w:t>Command Parameters</w:t>
      </w:r>
    </w:p>
    <w:p w:rsidR="00197B5F" w:rsidRDefault="00197B5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3882"/>
        <w:gridCol w:w="3192"/>
      </w:tblGrid>
      <w:tr w:rsidR="00197B5F">
        <w:trPr>
          <w:jc w:val="center"/>
        </w:trPr>
        <w:tc>
          <w:tcPr>
            <w:tcW w:w="2197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Default</w:t>
            </w:r>
          </w:p>
        </w:tc>
      </w:tr>
      <w:tr w:rsidR="00197B5F">
        <w:trPr>
          <w:jc w:val="center"/>
        </w:trPr>
        <w:tc>
          <w:tcPr>
            <w:tcW w:w="2197" w:type="dxa"/>
          </w:tcPr>
          <w:p w:rsidR="00197B5F" w:rsidRDefault="00197B5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ScreenLevel</w:t>
            </w:r>
            <w:proofErr w:type="spellEnd"/>
          </w:p>
        </w:tc>
        <w:tc>
          <w:tcPr>
            <w:tcW w:w="3882" w:type="dxa"/>
          </w:tcPr>
          <w:p w:rsidR="00197B5F" w:rsidRDefault="00197B5F">
            <w:r>
              <w:t xml:space="preserve">The debug level for the screen (0+).  </w:t>
            </w:r>
          </w:p>
        </w:tc>
        <w:tc>
          <w:tcPr>
            <w:tcW w:w="3192" w:type="dxa"/>
          </w:tcPr>
          <w:p w:rsidR="00197B5F" w:rsidRDefault="005A23A2">
            <w:r>
              <w:t>Keep previous setting.</w:t>
            </w:r>
          </w:p>
        </w:tc>
      </w:tr>
      <w:tr w:rsidR="00197B5F">
        <w:trPr>
          <w:jc w:val="center"/>
        </w:trPr>
        <w:tc>
          <w:tcPr>
            <w:tcW w:w="2197" w:type="dxa"/>
          </w:tcPr>
          <w:p w:rsidR="00197B5F" w:rsidRDefault="00197B5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LogFileLevel</w:t>
            </w:r>
            <w:proofErr w:type="spellEnd"/>
          </w:p>
        </w:tc>
        <w:tc>
          <w:tcPr>
            <w:tcW w:w="3882" w:type="dxa"/>
          </w:tcPr>
          <w:p w:rsidR="00197B5F" w:rsidRDefault="00197B5F">
            <w:r>
              <w:t>The debug level for the log file (0+).</w:t>
            </w:r>
          </w:p>
        </w:tc>
        <w:tc>
          <w:tcPr>
            <w:tcW w:w="3192" w:type="dxa"/>
          </w:tcPr>
          <w:p w:rsidR="00197B5F" w:rsidRDefault="005A23A2">
            <w:r>
              <w:t>Keep previous setting.</w:t>
            </w:r>
          </w:p>
        </w:tc>
      </w:tr>
    </w:tbl>
    <w:p w:rsidR="00197B5F" w:rsidRDefault="00197B5F">
      <w:pPr>
        <w:rPr>
          <w:color w:val="C0C0C0"/>
        </w:rPr>
      </w:pPr>
    </w:p>
    <w:p w:rsidR="00197B5F" w:rsidRDefault="005A23A2">
      <w:pPr>
        <w:rPr>
          <w:color w:val="000000"/>
        </w:rPr>
      </w:pPr>
      <w:r>
        <w:rPr>
          <w:color w:val="000000"/>
        </w:rPr>
        <w:t>A sample command</w:t>
      </w:r>
      <w:r w:rsidR="00197B5F">
        <w:rPr>
          <w:color w:val="000000"/>
        </w:rPr>
        <w:t xml:space="preserve"> file is as follows:</w:t>
      </w:r>
    </w:p>
    <w:p w:rsidR="00197B5F" w:rsidRDefault="00197B5F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197B5F">
        <w:trPr>
          <w:jc w:val="center"/>
        </w:trPr>
        <w:tc>
          <w:tcPr>
            <w:tcW w:w="9198" w:type="dxa"/>
          </w:tcPr>
          <w:p w:rsidR="00197B5F" w:rsidRDefault="005A23A2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Fonts w:ascii="Courier New" w:eastAsia="MS Mincho" w:hAnsi="Courier New" w:cs="Courier New"/>
                <w:sz w:val="20"/>
              </w:rPr>
              <w:t>S</w:t>
            </w:r>
            <w:r w:rsidR="00197B5F">
              <w:rPr>
                <w:rFonts w:ascii="Courier New" w:eastAsia="MS Mincho" w:hAnsi="Courier New" w:cs="Courier New"/>
                <w:sz w:val="20"/>
              </w:rPr>
              <w:t>etDebugLevel</w:t>
            </w:r>
            <w:proofErr w:type="spellEnd"/>
            <w:r w:rsidR="00197B5F">
              <w:rPr>
                <w:rFonts w:ascii="Courier New" w:eastAsia="MS Mincho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MS Mincho" w:hAnsi="Courier New" w:cs="Courier New"/>
                <w:sz w:val="20"/>
              </w:rPr>
              <w:t>ScreenLevel</w:t>
            </w:r>
            <w:proofErr w:type="spellEnd"/>
            <w:r>
              <w:rPr>
                <w:rFonts w:ascii="Courier New" w:eastAsia="MS Mincho" w:hAnsi="Courier New" w:cs="Courier New"/>
                <w:sz w:val="20"/>
              </w:rPr>
              <w:t>=</w:t>
            </w:r>
            <w:r w:rsidR="00197B5F">
              <w:rPr>
                <w:rFonts w:ascii="Courier New" w:eastAsia="MS Mincho" w:hAnsi="Courier New" w:cs="Courier New"/>
                <w:sz w:val="20"/>
              </w:rPr>
              <w:t>0,</w:t>
            </w:r>
            <w:r>
              <w:rPr>
                <w:rFonts w:ascii="Courier New" w:eastAsia="MS Mincho" w:hAnsi="Courier New" w:cs="Courier New"/>
                <w:sz w:val="20"/>
              </w:rPr>
              <w:t>LogFileLevel=</w:t>
            </w:r>
            <w:r w:rsidR="00197B5F">
              <w:rPr>
                <w:rFonts w:ascii="Courier New" w:eastAsia="MS Mincho" w:hAnsi="Courier New" w:cs="Courier New"/>
                <w:sz w:val="20"/>
              </w:rPr>
              <w:t>10)</w:t>
            </w:r>
          </w:p>
        </w:tc>
      </w:tr>
    </w:tbl>
    <w:bookmarkEnd w:id="1"/>
    <w:p w:rsidR="00197B5F" w:rsidRDefault="00197B5F" w:rsidP="005A23A2">
      <w:pPr>
        <w:rPr>
          <w:color w:val="C0C0C0"/>
        </w:rPr>
      </w:pPr>
      <w:r>
        <w:rPr>
          <w:color w:val="C0C0C0"/>
        </w:rPr>
        <w:t>.</w:t>
      </w:r>
    </w:p>
    <w:sectPr w:rsidR="00197B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CA8" w:rsidRDefault="00050CA8">
      <w:r>
        <w:separator/>
      </w:r>
    </w:p>
  </w:endnote>
  <w:endnote w:type="continuationSeparator" w:id="0">
    <w:p w:rsidR="00050CA8" w:rsidRDefault="0005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 xml:space="preserve">Command Reference – </w:t>
    </w:r>
    <w:proofErr w:type="spellStart"/>
    <w:proofErr w:type="gramStart"/>
    <w:r w:rsidR="005A23A2">
      <w:t>S</w:t>
    </w:r>
    <w:r>
      <w:t>etDebugLevel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42B1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A23A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5A23A2">
      <w:t>S</w:t>
    </w:r>
    <w:r>
      <w:t>etDebugLevel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42B1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CA8" w:rsidRDefault="00050CA8">
      <w:r>
        <w:separator/>
      </w:r>
    </w:p>
  </w:footnote>
  <w:footnote w:type="continuationSeparator" w:id="0">
    <w:p w:rsidR="00050CA8" w:rsidRDefault="00050C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5A23A2">
    <w:pPr>
      <w:pStyle w:val="RTiSWDocHeader"/>
    </w:pPr>
    <w:proofErr w:type="spellStart"/>
    <w:proofErr w:type="gramStart"/>
    <w:r>
      <w:t>S</w:t>
    </w:r>
    <w:r w:rsidR="00197B5F">
      <w:t>etDebugLevel</w:t>
    </w:r>
    <w:proofErr w:type="spellEnd"/>
    <w:r w:rsidR="00197B5F">
      <w:t>(</w:t>
    </w:r>
    <w:proofErr w:type="gramEnd"/>
    <w:r w:rsidR="00197B5F">
      <w:t>) Command</w:t>
    </w:r>
    <w:r w:rsidR="00197B5F">
      <w:tab/>
    </w:r>
    <w:r w:rsidR="00197B5F">
      <w:tab/>
    </w:r>
    <w:proofErr w:type="spellStart"/>
    <w:r w:rsidR="00197B5F">
      <w:t>TSTool</w:t>
    </w:r>
    <w:proofErr w:type="spellEnd"/>
    <w:r w:rsidR="00197B5F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A2"/>
    <w:rsid w:val="00050CA8"/>
    <w:rsid w:val="00137FD8"/>
    <w:rsid w:val="00197B5F"/>
    <w:rsid w:val="00242B18"/>
    <w:rsid w:val="005A23A2"/>
    <w:rsid w:val="00C6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680867-139B-42CB-9981-7998ECC5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2016-04-01T08:51:00Z</dcterms:created>
  <dcterms:modified xsi:type="dcterms:W3CDTF">2016-04-01T08:53:00Z</dcterms:modified>
</cp:coreProperties>
</file>