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gramStart"/>
      <w:r w:rsidR="006718F0">
        <w:t>Wait</w:t>
      </w:r>
      <w:r w:rsidR="00197B5F">
        <w:t>()</w:t>
      </w:r>
      <w:proofErr w:type="gramEnd"/>
    </w:p>
    <w:p w:rsidR="00197B5F" w:rsidRDefault="006718F0">
      <w:pPr>
        <w:pStyle w:val="RTiSWDocChapterSubtitle"/>
      </w:pPr>
      <w:r>
        <w:t>Wait a specified time before continuing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6718F0">
        <w:t>1</w:t>
      </w:r>
      <w:r>
        <w:t>.</w:t>
      </w:r>
      <w:r w:rsidR="006718F0">
        <w:t>0</w:t>
      </w:r>
      <w:r w:rsidR="002F4330">
        <w:t>8</w:t>
      </w:r>
      <w:r>
        <w:t>.0</w:t>
      </w:r>
      <w:r w:rsidR="002F4330">
        <w:t>1</w:t>
      </w:r>
      <w:r>
        <w:t>, 20</w:t>
      </w:r>
      <w:r w:rsidR="00200033">
        <w:t>1</w:t>
      </w:r>
      <w:r w:rsidR="002F4330">
        <w:t>6</w:t>
      </w:r>
      <w:r>
        <w:t>-</w:t>
      </w:r>
      <w:r w:rsidR="006718F0">
        <w:t>0</w:t>
      </w:r>
      <w:r w:rsidR="00200033">
        <w:t>2</w:t>
      </w:r>
      <w:r>
        <w:t>-</w:t>
      </w:r>
      <w:r w:rsidR="002F4330">
        <w:t>14</w:t>
      </w:r>
    </w:p>
    <w:p w:rsidR="00197B5F" w:rsidRDefault="00197B5F"/>
    <w:p w:rsidR="006718F0" w:rsidRDefault="00197B5F" w:rsidP="00ED540C">
      <w:r>
        <w:t xml:space="preserve">The </w:t>
      </w:r>
      <w:proofErr w:type="gramStart"/>
      <w:r w:rsidR="006718F0">
        <w:rPr>
          <w:rStyle w:val="RTiSWDocLiteralText"/>
        </w:rPr>
        <w:t>Wait</w:t>
      </w:r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6718F0">
        <w:t>waits a specified time before continuing.  Examples of use include:</w:t>
      </w:r>
    </w:p>
    <w:p w:rsidR="006718F0" w:rsidRDefault="006718F0" w:rsidP="00ED540C"/>
    <w:p w:rsidR="006718F0" w:rsidRDefault="006718F0" w:rsidP="006718F0">
      <w:pPr>
        <w:pStyle w:val="ListParagraph"/>
        <w:numPr>
          <w:ilvl w:val="0"/>
          <w:numId w:val="2"/>
        </w:numPr>
      </w:pPr>
      <w:r>
        <w:t>Test</w:t>
      </w:r>
      <w:r w:rsidR="002F4330">
        <w:t xml:space="preserve">ing to simulate slow </w:t>
      </w:r>
      <w:proofErr w:type="spellStart"/>
      <w:r w:rsidR="002F4330">
        <w:t>datastores</w:t>
      </w:r>
      <w:proofErr w:type="spellEnd"/>
      <w:r w:rsidR="002F4330">
        <w:t xml:space="preserve"> or long processes.</w:t>
      </w:r>
    </w:p>
    <w:p w:rsidR="00ED540C" w:rsidRDefault="006718F0" w:rsidP="006718F0">
      <w:pPr>
        <w:pStyle w:val="ListParagraph"/>
        <w:numPr>
          <w:ilvl w:val="0"/>
          <w:numId w:val="2"/>
        </w:numPr>
      </w:pPr>
      <w:r>
        <w:t>Waiting for an external process to finish.  Functionality will be added in the future to wait for a file to exist or not exist</w:t>
      </w:r>
      <w:r w:rsidR="00ED540C">
        <w:t>.</w:t>
      </w:r>
    </w:p>
    <w:p w:rsidR="00ED540C" w:rsidRDefault="00ED540C" w:rsidP="00ED540C"/>
    <w:p w:rsidR="002F4330" w:rsidRDefault="002F4330">
      <w:r>
        <w:t xml:space="preserve">The </w:t>
      </w:r>
      <w:proofErr w:type="spellStart"/>
      <w:r>
        <w:t>TSTool</w:t>
      </w:r>
      <w:proofErr w:type="spellEnd"/>
      <w:r>
        <w:t xml:space="preserve"> </w:t>
      </w:r>
      <w:r w:rsidRPr="002F4330">
        <w:rPr>
          <w:rStyle w:val="RTiSWDocGUIReference"/>
        </w:rPr>
        <w:t>Run / Cancel Command Processing (interrupt processing)</w:t>
      </w:r>
      <w:r>
        <w:t xml:space="preserve"> menu will initiate an interrupt on the processor.  Because the </w:t>
      </w:r>
      <w:proofErr w:type="gramStart"/>
      <w:r w:rsidRPr="00003CE5">
        <w:rPr>
          <w:rStyle w:val="RTiSWDocLiteralText"/>
        </w:rPr>
        <w:t>Wait(</w:t>
      </w:r>
      <w:proofErr w:type="gramEnd"/>
      <w:r w:rsidRPr="00003CE5">
        <w:rPr>
          <w:rStyle w:val="RTiSWDocLiteralText"/>
        </w:rPr>
        <w:t>)</w:t>
      </w:r>
      <w:r>
        <w:t xml:space="preserve"> command uses an internal wait, such interrupts are treated differently than interrupting other commands</w:t>
      </w:r>
      <w:r w:rsidR="00003CE5">
        <w:t xml:space="preserve"> and may</w:t>
      </w:r>
      <w:r>
        <w:t xml:space="preserve"> generate warnings that have obscure wording.  This case will be evaluated and enhanced over time.</w:t>
      </w:r>
      <w:r w:rsidR="00003CE5">
        <w:t xml:space="preserve">  In most cases users will not need to interrupt command workflows that are using </w:t>
      </w:r>
      <w:proofErr w:type="gramStart"/>
      <w:r w:rsidR="00003CE5" w:rsidRPr="00003CE5">
        <w:rPr>
          <w:rStyle w:val="RTiSWDocLiteralText"/>
        </w:rPr>
        <w:t>Wait(</w:t>
      </w:r>
      <w:proofErr w:type="gramEnd"/>
      <w:r w:rsidR="00003CE5" w:rsidRPr="00003CE5">
        <w:rPr>
          <w:rStyle w:val="RTiSWDocLiteralText"/>
        </w:rPr>
        <w:t>)</w:t>
      </w:r>
      <w:r w:rsidR="00003CE5">
        <w:t>.</w:t>
      </w:r>
    </w:p>
    <w:p w:rsidR="002F4330" w:rsidRDefault="002F4330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003CE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19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a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B5F" w:rsidRDefault="006718F0">
      <w:pPr>
        <w:pStyle w:val="RTiSWDocNote"/>
      </w:pPr>
      <w:r>
        <w:t>Wait</w:t>
      </w:r>
    </w:p>
    <w:p w:rsidR="00197B5F" w:rsidRDefault="006718F0">
      <w:pPr>
        <w:pStyle w:val="RTiSWDocFigureTableTitle"/>
      </w:pPr>
      <w:proofErr w:type="gramStart"/>
      <w:r>
        <w:t>Wait</w:t>
      </w:r>
      <w:r w:rsidR="00197B5F">
        <w:t>(</w:t>
      </w:r>
      <w:proofErr w:type="gramEnd"/>
      <w:r w:rsidR="00197B5F">
        <w:t>) Command Editor</w:t>
      </w:r>
    </w:p>
    <w:p w:rsidR="00197B5F" w:rsidRDefault="00197B5F">
      <w:pPr>
        <w:numPr>
          <w:ilvl w:val="12"/>
          <w:numId w:val="0"/>
        </w:numPr>
      </w:pPr>
      <w:bookmarkStart w:id="1" w:name="replaceValue"/>
    </w:p>
    <w:p w:rsidR="00197B5F" w:rsidRDefault="00197B5F">
      <w:r>
        <w:t>The command syntax is as follows:</w:t>
      </w:r>
    </w:p>
    <w:p w:rsidR="00197B5F" w:rsidRDefault="00197B5F"/>
    <w:p w:rsidR="00197B5F" w:rsidRDefault="006718F0">
      <w:pPr>
        <w:ind w:left="720"/>
        <w:rPr>
          <w:rStyle w:val="RTiSWDocLiteralText"/>
        </w:rPr>
      </w:pPr>
      <w:proofErr w:type="gramStart"/>
      <w:r>
        <w:rPr>
          <w:rStyle w:val="RTiSWDocLiteralText"/>
        </w:rPr>
        <w:t>Wait</w:t>
      </w:r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3778"/>
        <w:gridCol w:w="3111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6718F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WaitTime</w:t>
            </w:r>
            <w:proofErr w:type="spellEnd"/>
          </w:p>
        </w:tc>
        <w:tc>
          <w:tcPr>
            <w:tcW w:w="3882" w:type="dxa"/>
          </w:tcPr>
          <w:p w:rsidR="00197B5F" w:rsidRDefault="006718F0" w:rsidP="00ED540C">
            <w:r>
              <w:t>The number of seconds to wait.</w:t>
            </w:r>
            <w:r w:rsidR="00197B5F">
              <w:t xml:space="preserve">  </w:t>
            </w:r>
          </w:p>
        </w:tc>
        <w:tc>
          <w:tcPr>
            <w:tcW w:w="3192" w:type="dxa"/>
          </w:tcPr>
          <w:p w:rsidR="00197B5F" w:rsidRDefault="00BF1114" w:rsidP="00BF1114">
            <w:r>
              <w:t>None – must be specified.</w:t>
            </w:r>
          </w:p>
        </w:tc>
      </w:tr>
      <w:tr w:rsidR="006718F0">
        <w:trPr>
          <w:jc w:val="center"/>
        </w:trPr>
        <w:tc>
          <w:tcPr>
            <w:tcW w:w="2197" w:type="dxa"/>
          </w:tcPr>
          <w:p w:rsidR="006718F0" w:rsidRDefault="006718F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ProgressIncrement</w:t>
            </w:r>
            <w:proofErr w:type="spellEnd"/>
          </w:p>
        </w:tc>
        <w:tc>
          <w:tcPr>
            <w:tcW w:w="3882" w:type="dxa"/>
          </w:tcPr>
          <w:p w:rsidR="006718F0" w:rsidRDefault="006718F0" w:rsidP="00ED540C">
            <w:r>
              <w:t xml:space="preserve">The number of seconds between progress updates in the main </w:t>
            </w:r>
            <w:proofErr w:type="spellStart"/>
            <w:r>
              <w:t>TSTool</w:t>
            </w:r>
            <w:proofErr w:type="spellEnd"/>
            <w:r>
              <w:t xml:space="preserve"> progress indicator.</w:t>
            </w:r>
          </w:p>
        </w:tc>
        <w:tc>
          <w:tcPr>
            <w:tcW w:w="3192" w:type="dxa"/>
          </w:tcPr>
          <w:p w:rsidR="006718F0" w:rsidRDefault="006718F0" w:rsidP="006718F0">
            <w:proofErr w:type="spellStart"/>
            <w:r w:rsidRPr="006718F0">
              <w:rPr>
                <w:rStyle w:val="RTiSWDocLiteralText"/>
              </w:rPr>
              <w:t>WaitTime</w:t>
            </w:r>
            <w:proofErr w:type="spellEnd"/>
            <w:r>
              <w:t xml:space="preserve"> divided by ten.</w:t>
            </w:r>
          </w:p>
        </w:tc>
      </w:tr>
    </w:tbl>
    <w:p w:rsidR="00197B5F" w:rsidRDefault="00197B5F">
      <w:pPr>
        <w:rPr>
          <w:color w:val="C0C0C0"/>
        </w:rPr>
      </w:pPr>
    </w:p>
    <w:p w:rsidR="00066074" w:rsidRPr="00066074" w:rsidRDefault="00066074">
      <w:pPr>
        <w:rPr>
          <w:color w:val="000000" w:themeColor="text1"/>
        </w:rPr>
      </w:pPr>
    </w:p>
    <w:bookmarkEnd w:id="1"/>
    <w:p w:rsidR="00ED540C" w:rsidRDefault="00ED540C">
      <w:pPr>
        <w:rPr>
          <w:color w:val="C0C0C0"/>
        </w:rPr>
      </w:pPr>
      <w:r>
        <w:rPr>
          <w:color w:val="C0C0C0"/>
        </w:rPr>
        <w:br w:type="page"/>
      </w:r>
    </w:p>
    <w:p w:rsidR="006B0DF0" w:rsidRDefault="006B0DF0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ED540C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ED54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CC9" w:rsidRDefault="00084CC9">
      <w:r>
        <w:separator/>
      </w:r>
    </w:p>
  </w:endnote>
  <w:endnote w:type="continuationSeparator" w:id="0">
    <w:p w:rsidR="00084CC9" w:rsidRDefault="0008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gramStart"/>
    <w:r w:rsidR="006718F0">
      <w:t>Wait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03CE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A23A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r w:rsidR="00ED540C">
      <w:t xml:space="preserve"> </w:t>
    </w:r>
    <w:proofErr w:type="gramStart"/>
    <w:r w:rsidR="006718F0">
      <w:t>Wait</w:t>
    </w:r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03CE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CC9" w:rsidRDefault="00084CC9">
      <w:r>
        <w:separator/>
      </w:r>
    </w:p>
  </w:footnote>
  <w:footnote w:type="continuationSeparator" w:id="0">
    <w:p w:rsidR="00084CC9" w:rsidRDefault="00084C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6718F0">
    <w:pPr>
      <w:pStyle w:val="RTiSWDocHeader"/>
    </w:pPr>
    <w:proofErr w:type="gramStart"/>
    <w:r>
      <w:t>Wait</w:t>
    </w:r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666AF"/>
    <w:multiLevelType w:val="hybridMultilevel"/>
    <w:tmpl w:val="1BE8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03CE5"/>
    <w:rsid w:val="00066074"/>
    <w:rsid w:val="00084CC9"/>
    <w:rsid w:val="00105582"/>
    <w:rsid w:val="00197B5F"/>
    <w:rsid w:val="00200033"/>
    <w:rsid w:val="002F4330"/>
    <w:rsid w:val="00307980"/>
    <w:rsid w:val="005A23A2"/>
    <w:rsid w:val="006718F0"/>
    <w:rsid w:val="006B0DF0"/>
    <w:rsid w:val="007A6A40"/>
    <w:rsid w:val="00915FF3"/>
    <w:rsid w:val="00A20DFC"/>
    <w:rsid w:val="00BF1114"/>
    <w:rsid w:val="00C616DC"/>
    <w:rsid w:val="00CF2813"/>
    <w:rsid w:val="00D40234"/>
    <w:rsid w:val="00DC4F76"/>
    <w:rsid w:val="00DF7001"/>
    <w:rsid w:val="00E13DFD"/>
    <w:rsid w:val="00E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2004-02-15T21:50:00Z</cp:lastPrinted>
  <dcterms:created xsi:type="dcterms:W3CDTF">2013-12-08T02:45:00Z</dcterms:created>
  <dcterms:modified xsi:type="dcterms:W3CDTF">2016-02-14T20:58:00Z</dcterms:modified>
</cp:coreProperties>
</file>