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E32D06">
        <w:t>Web</w:t>
      </w:r>
      <w:r w:rsidR="00E83E79">
        <w:t>Get</w:t>
      </w:r>
      <w:proofErr w:type="spellEnd"/>
      <w:r>
        <w:t>()</w:t>
      </w:r>
      <w:proofErr w:type="gramEnd"/>
    </w:p>
    <w:p w:rsidR="001B271C" w:rsidRDefault="00E83E79">
      <w:pPr>
        <w:pStyle w:val="RTiSWDocChapterSubtitle"/>
      </w:pPr>
      <w:r>
        <w:t xml:space="preserve">Retrieve </w:t>
      </w:r>
      <w:r w:rsidR="00E32D06">
        <w:t>a file</w:t>
      </w:r>
      <w:r>
        <w:t xml:space="preserve"> from a </w:t>
      </w:r>
      <w:r w:rsidR="00E32D06">
        <w:t>website</w:t>
      </w:r>
    </w:p>
    <w:p w:rsidR="001B271C" w:rsidRDefault="001B271C">
      <w:pPr>
        <w:pStyle w:val="RTiSWDocNote"/>
      </w:pPr>
      <w:r>
        <w:t xml:space="preserve">Version </w:t>
      </w:r>
      <w:r w:rsidR="00AE2FCE">
        <w:t>1</w:t>
      </w:r>
      <w:r w:rsidR="00126BBD">
        <w:t>1</w:t>
      </w:r>
      <w:r>
        <w:t>.</w:t>
      </w:r>
      <w:r w:rsidR="00126BBD">
        <w:t>1</w:t>
      </w:r>
      <w:r w:rsidR="00E32D06">
        <w:t>0</w:t>
      </w:r>
      <w:r>
        <w:t>.</w:t>
      </w:r>
      <w:r w:rsidR="0055428A">
        <w:t>0</w:t>
      </w:r>
      <w:r w:rsidR="00532B21">
        <w:t>0</w:t>
      </w:r>
      <w:r>
        <w:t>, 20</w:t>
      </w:r>
      <w:r w:rsidR="0064164C">
        <w:t>1</w:t>
      </w:r>
      <w:r w:rsidR="00126BBD">
        <w:t>6</w:t>
      </w:r>
      <w:r>
        <w:t>-</w:t>
      </w:r>
      <w:r w:rsidR="00126BBD">
        <w:t>04</w:t>
      </w:r>
      <w:r>
        <w:t>-</w:t>
      </w:r>
      <w:r w:rsidR="00126BBD">
        <w:t>09</w:t>
      </w:r>
    </w:p>
    <w:p w:rsidR="001B271C" w:rsidRDefault="001B271C">
      <w:pPr>
        <w:numPr>
          <w:ilvl w:val="12"/>
          <w:numId w:val="0"/>
        </w:numPr>
      </w:pPr>
    </w:p>
    <w:p w:rsidR="001B271C" w:rsidRDefault="001B271C">
      <w:pPr>
        <w:numPr>
          <w:ilvl w:val="12"/>
          <w:numId w:val="0"/>
        </w:numPr>
      </w:pPr>
    </w:p>
    <w:p w:rsidR="002F08D7" w:rsidRDefault="001B271C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0429B8">
        <w:rPr>
          <w:rStyle w:val="RTiSWDocLiteralText"/>
        </w:rPr>
        <w:t>Web</w:t>
      </w:r>
      <w:r w:rsidR="00E83E79">
        <w:rPr>
          <w:rStyle w:val="RTiSWDocLiteralText"/>
        </w:rPr>
        <w:t>Get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E83E79">
        <w:t xml:space="preserve">retrieves </w:t>
      </w:r>
      <w:r w:rsidR="002F08D7">
        <w:t>content</w:t>
      </w:r>
      <w:r w:rsidR="001E623D">
        <w:t xml:space="preserve"> </w:t>
      </w:r>
      <w:r w:rsidR="00E83E79">
        <w:t xml:space="preserve">from a </w:t>
      </w:r>
      <w:r w:rsidR="000429B8">
        <w:t>website and writes the content to a local file</w:t>
      </w:r>
      <w:r w:rsidR="001E623D">
        <w:t>.</w:t>
      </w:r>
      <w:r w:rsidR="000429B8">
        <w:t xml:space="preserve">  The transfer occurs using binary characters and the local copy is the same as that shown by </w:t>
      </w:r>
      <w:r w:rsidR="005C2C9A" w:rsidRPr="005C2C9A">
        <w:rPr>
          <w:rStyle w:val="RTiSWDocGUIReference"/>
        </w:rPr>
        <w:t>View…Source</w:t>
      </w:r>
      <w:r w:rsidR="005C2C9A">
        <w:t xml:space="preserve"> (or </w:t>
      </w:r>
      <w:r w:rsidR="005C2C9A" w:rsidRPr="005C2C9A">
        <w:rPr>
          <w:rStyle w:val="RTiSWDocGUIReference"/>
        </w:rPr>
        <w:t>View…Page Source</w:t>
      </w:r>
      <w:r w:rsidR="005C2C9A">
        <w:t>) in the web browser.</w:t>
      </w:r>
      <w:r w:rsidR="002F08D7">
        <w:t xml:space="preserve">  This command is useful for mining time series data </w:t>
      </w:r>
      <w:r w:rsidR="00AE2FCE">
        <w:t xml:space="preserve">and other content </w:t>
      </w:r>
      <w:r w:rsidR="002F08D7">
        <w:t xml:space="preserve">from </w:t>
      </w:r>
      <w:r w:rsidR="00AE2FCE">
        <w:t xml:space="preserve">data </w:t>
      </w:r>
      <w:r w:rsidR="002F08D7">
        <w:t xml:space="preserve">provider web sites.  </w:t>
      </w:r>
      <w:r w:rsidR="005C2C9A">
        <w:t xml:space="preserve">The local file can then be processed with additional commands such as </w:t>
      </w:r>
      <w:proofErr w:type="spellStart"/>
      <w:proofErr w:type="gramStart"/>
      <w:r w:rsidR="005C2C9A" w:rsidRPr="005C2C9A">
        <w:rPr>
          <w:rStyle w:val="RTiSWDocLiteralText"/>
        </w:rPr>
        <w:t>ReadFromDelimitedFile</w:t>
      </w:r>
      <w:proofErr w:type="spellEnd"/>
      <w:r w:rsidR="005C2C9A" w:rsidRPr="005C2C9A">
        <w:rPr>
          <w:rStyle w:val="RTiSWDocLiteralText"/>
        </w:rPr>
        <w:t>(</w:t>
      </w:r>
      <w:proofErr w:type="gramEnd"/>
      <w:r w:rsidR="005C2C9A" w:rsidRPr="005C2C9A">
        <w:rPr>
          <w:rStyle w:val="RTiSWDocLiteralText"/>
        </w:rPr>
        <w:t>)</w:t>
      </w:r>
      <w:r w:rsidR="005C2C9A">
        <w:t>.</w:t>
      </w:r>
    </w:p>
    <w:p w:rsidR="002F08D7" w:rsidRDefault="002F08D7">
      <w:pPr>
        <w:numPr>
          <w:ilvl w:val="12"/>
          <w:numId w:val="0"/>
        </w:numPr>
      </w:pPr>
    </w:p>
    <w:p w:rsidR="005C2C9A" w:rsidRDefault="002F08D7">
      <w:pPr>
        <w:numPr>
          <w:ilvl w:val="12"/>
          <w:numId w:val="0"/>
        </w:numPr>
      </w:pPr>
      <w:r>
        <w:t>E</w:t>
      </w:r>
      <w:r w:rsidR="005C2C9A">
        <w:t xml:space="preserve">xtraneous content (such as HTML markup around text) and inconsistencies </w:t>
      </w:r>
      <w:r>
        <w:t>in newline characters</w:t>
      </w:r>
      <w:r w:rsidR="005C2C9A">
        <w:t xml:space="preserve"> (</w:t>
      </w:r>
      <w:r>
        <w:rPr>
          <w:rStyle w:val="RTiSWDocLiteralText"/>
        </w:rPr>
        <w:t>\r\n</w:t>
      </w:r>
      <w:r w:rsidR="005C2C9A">
        <w:t xml:space="preserve"> for windows and</w:t>
      </w:r>
      <w:r w:rsidR="005C2C9A" w:rsidRPr="005C2C9A">
        <w:rPr>
          <w:rStyle w:val="RTiSWDocLiteralText"/>
        </w:rPr>
        <w:t xml:space="preserve"> </w:t>
      </w:r>
      <w:r>
        <w:rPr>
          <w:rStyle w:val="RTiSWDocLiteralText"/>
        </w:rPr>
        <w:t>\n</w:t>
      </w:r>
      <w:r w:rsidR="005C2C9A">
        <w:t xml:space="preserve"> on other systems) may lead to some issues in processing the content.  Additional command capabilities may be implemented to help handle these issues.</w:t>
      </w:r>
    </w:p>
    <w:p w:rsidR="001B271C" w:rsidRDefault="001B271C">
      <w:pPr>
        <w:numPr>
          <w:ilvl w:val="12"/>
          <w:numId w:val="0"/>
        </w:numPr>
      </w:pPr>
    </w:p>
    <w:p w:rsidR="001B271C" w:rsidRDefault="001B271C">
      <w:pPr>
        <w:numPr>
          <w:ilvl w:val="12"/>
          <w:numId w:val="0"/>
        </w:numPr>
      </w:pPr>
      <w:r>
        <w:t>The following dialog is used to edit the command and illustrates the syntax for the command.</w:t>
      </w:r>
      <w:r w:rsidR="002F08D7">
        <w:t xml:space="preserve">  This example reads stream gage data from the State of </w:t>
      </w:r>
      <w:smartTag w:uri="urn:schemas-microsoft-com:office:smarttags" w:element="State">
        <w:smartTag w:uri="urn:schemas-microsoft-com:office:smarttags" w:element="place">
          <w:r w:rsidR="002F08D7">
            <w:t>Colorado</w:t>
          </w:r>
        </w:smartTag>
      </w:smartTag>
      <w:r w:rsidR="002F08D7">
        <w:t>’s website.</w:t>
      </w:r>
    </w:p>
    <w:p w:rsidR="001B271C" w:rsidRDefault="001B271C">
      <w:pPr>
        <w:numPr>
          <w:ilvl w:val="12"/>
          <w:numId w:val="0"/>
        </w:numPr>
      </w:pPr>
    </w:p>
    <w:p w:rsidR="001B271C" w:rsidRDefault="00BD71F8">
      <w:pPr>
        <w:numPr>
          <w:ilvl w:val="12"/>
          <w:numId w:val="0"/>
        </w:num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43600" cy="2630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WebG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271C" w:rsidRDefault="000429B8">
      <w:pPr>
        <w:pStyle w:val="RTiSWDocNote"/>
      </w:pPr>
      <w:proofErr w:type="spellStart"/>
      <w:r>
        <w:t>Web</w:t>
      </w:r>
      <w:r w:rsidR="00E83E79">
        <w:t>Get</w:t>
      </w:r>
      <w:proofErr w:type="spellEnd"/>
    </w:p>
    <w:p w:rsidR="001B271C" w:rsidRDefault="000429B8">
      <w:pPr>
        <w:pStyle w:val="RTiSWDocFigureTableTitle"/>
      </w:pPr>
      <w:proofErr w:type="spellStart"/>
      <w:r>
        <w:t>Web</w:t>
      </w:r>
      <w:r w:rsidR="00E83E79">
        <w:t>Get</w:t>
      </w:r>
      <w:proofErr w:type="spellEnd"/>
      <w:r w:rsidR="001B271C">
        <w:t>() Command Editor</w:t>
      </w:r>
    </w:p>
    <w:p w:rsidR="001B271C" w:rsidRDefault="001B271C">
      <w:pPr>
        <w:numPr>
          <w:ilvl w:val="12"/>
          <w:numId w:val="0"/>
        </w:numPr>
      </w:pPr>
    </w:p>
    <w:p w:rsidR="001B271C" w:rsidRDefault="001B271C">
      <w:bookmarkStart w:id="1" w:name="replaceValue"/>
      <w:r>
        <w:br w:type="page"/>
      </w:r>
      <w:r>
        <w:lastRenderedPageBreak/>
        <w:t>The command syntax is as follows:</w:t>
      </w:r>
    </w:p>
    <w:p w:rsidR="001B271C" w:rsidRDefault="001B271C"/>
    <w:p w:rsidR="001B271C" w:rsidRDefault="000429B8">
      <w:pPr>
        <w:ind w:left="720"/>
        <w:rPr>
          <w:rStyle w:val="RTiSWDocLiteralText"/>
        </w:rPr>
      </w:pPr>
      <w:proofErr w:type="spellStart"/>
      <w:r>
        <w:rPr>
          <w:rStyle w:val="RTiSWDocLiteralText"/>
        </w:rPr>
        <w:t>Web</w:t>
      </w:r>
      <w:r w:rsidR="00E83E79">
        <w:rPr>
          <w:rStyle w:val="RTiSWDocLiteralText"/>
        </w:rPr>
        <w:t>Get</w:t>
      </w:r>
      <w:proofErr w:type="spellEnd"/>
      <w:r w:rsidR="001B271C">
        <w:rPr>
          <w:rStyle w:val="RTiSWDocLiteralText"/>
        </w:rPr>
        <w:t>(</w:t>
      </w:r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5"/>
        <w:gridCol w:w="3796"/>
        <w:gridCol w:w="3109"/>
      </w:tblGrid>
      <w:tr w:rsidR="001B271C" w:rsidTr="00EE2916">
        <w:trPr>
          <w:jc w:val="center"/>
        </w:trPr>
        <w:tc>
          <w:tcPr>
            <w:tcW w:w="2461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3882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3192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1B271C" w:rsidTr="00EE2916">
        <w:trPr>
          <w:jc w:val="center"/>
        </w:trPr>
        <w:tc>
          <w:tcPr>
            <w:tcW w:w="2461" w:type="dxa"/>
          </w:tcPr>
          <w:p w:rsidR="001B271C" w:rsidRDefault="000429B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URI</w:t>
            </w:r>
          </w:p>
        </w:tc>
        <w:tc>
          <w:tcPr>
            <w:tcW w:w="3882" w:type="dxa"/>
          </w:tcPr>
          <w:p w:rsidR="001B271C" w:rsidRDefault="000429B8">
            <w:r>
              <w:t>The Uniform Resource Identifier (URI) for the content to be retrieved.  This is often also referred to as the Uniform Resource Locator (URL).</w:t>
            </w:r>
            <w:r w:rsidR="00532B21">
              <w:t xml:space="preserve">  Global properties can be used with the </w:t>
            </w:r>
            <w:r w:rsidR="00532B21" w:rsidRPr="00532B21">
              <w:rPr>
                <w:rStyle w:val="RTiSWDocLiteralText"/>
              </w:rPr>
              <w:t>${Property}</w:t>
            </w:r>
            <w:r w:rsidR="00532B21">
              <w:t xml:space="preserve"> syntax.</w:t>
            </w:r>
          </w:p>
        </w:tc>
        <w:tc>
          <w:tcPr>
            <w:tcW w:w="3192" w:type="dxa"/>
          </w:tcPr>
          <w:p w:rsidR="001B271C" w:rsidRDefault="001B271C">
            <w:r>
              <w:t>None – must be specified.</w:t>
            </w:r>
          </w:p>
        </w:tc>
      </w:tr>
      <w:tr w:rsidR="00EE2916" w:rsidTr="00EE2916">
        <w:trPr>
          <w:jc w:val="center"/>
        </w:trPr>
        <w:tc>
          <w:tcPr>
            <w:tcW w:w="2461" w:type="dxa"/>
          </w:tcPr>
          <w:p w:rsidR="00EE2916" w:rsidRDefault="000429B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LocalFile</w:t>
            </w:r>
            <w:proofErr w:type="spellEnd"/>
          </w:p>
        </w:tc>
        <w:tc>
          <w:tcPr>
            <w:tcW w:w="3882" w:type="dxa"/>
          </w:tcPr>
          <w:p w:rsidR="00EE2916" w:rsidRPr="00532B21" w:rsidRDefault="000429B8">
            <w:pPr>
              <w:rPr>
                <w:rStyle w:val="RTiSWDocLiteralTextInput"/>
              </w:rPr>
            </w:pPr>
            <w:r>
              <w:t>The local file in which to save the content</w:t>
            </w:r>
            <w:r w:rsidR="002F08D7">
              <w:t>.</w:t>
            </w:r>
            <w:r w:rsidR="00532B21">
              <w:t xml:space="preserve">  Global properties can be used with the </w:t>
            </w:r>
            <w:r w:rsidR="00532B21" w:rsidRPr="00532B21">
              <w:rPr>
                <w:rStyle w:val="RTiSWDocLiteralText"/>
              </w:rPr>
              <w:t>${Property}</w:t>
            </w:r>
            <w:r w:rsidR="00532B21">
              <w:t xml:space="preserve"> syntax.</w:t>
            </w:r>
          </w:p>
        </w:tc>
        <w:tc>
          <w:tcPr>
            <w:tcW w:w="3192" w:type="dxa"/>
          </w:tcPr>
          <w:p w:rsidR="00EE2916" w:rsidRDefault="00BD71F8">
            <w:r>
              <w:t>Output f</w:t>
            </w:r>
            <w:r w:rsidR="00126BBD">
              <w:t>ile will not be written.</w:t>
            </w:r>
          </w:p>
        </w:tc>
      </w:tr>
      <w:tr w:rsidR="00126BBD" w:rsidTr="00EE2916">
        <w:trPr>
          <w:jc w:val="center"/>
        </w:trPr>
        <w:tc>
          <w:tcPr>
            <w:tcW w:w="2461" w:type="dxa"/>
          </w:tcPr>
          <w:p w:rsidR="00126BBD" w:rsidRDefault="00126BB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OutputProperty</w:t>
            </w:r>
            <w:proofErr w:type="spellEnd"/>
          </w:p>
        </w:tc>
        <w:tc>
          <w:tcPr>
            <w:tcW w:w="3882" w:type="dxa"/>
          </w:tcPr>
          <w:p w:rsidR="00126BBD" w:rsidRDefault="00126BBD">
            <w:r>
              <w:t xml:space="preserve">Name of the processor property to set the retrieved contents.  For example, a snippet of data can be set as a property for processing by other commands, in which case the content will be accessed using </w:t>
            </w:r>
            <w:r w:rsidRPr="00126BBD">
              <w:rPr>
                <w:rStyle w:val="RTiSWDocLiteralText"/>
              </w:rPr>
              <w:t>${Property}</w:t>
            </w:r>
            <w:r>
              <w:t xml:space="preserve"> notation.</w:t>
            </w:r>
          </w:p>
        </w:tc>
        <w:tc>
          <w:tcPr>
            <w:tcW w:w="3192" w:type="dxa"/>
          </w:tcPr>
          <w:p w:rsidR="00126BBD" w:rsidRDefault="00126BBD">
            <w:r>
              <w:t>Content will not be set in a property.</w:t>
            </w:r>
          </w:p>
        </w:tc>
      </w:tr>
    </w:tbl>
    <w:p w:rsidR="001B271C" w:rsidRDefault="001B271C">
      <w:pPr>
        <w:rPr>
          <w:color w:val="C0C0C0"/>
        </w:rPr>
      </w:pPr>
    </w:p>
    <w:bookmarkEnd w:id="1"/>
    <w:p w:rsidR="001B271C" w:rsidRDefault="001B271C"/>
    <w:sectPr w:rsidR="001B27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24C" w:rsidRDefault="003E124C" w:rsidP="001B271C">
      <w:r>
        <w:separator/>
      </w:r>
    </w:p>
  </w:endnote>
  <w:endnote w:type="continuationSeparator" w:id="0">
    <w:p w:rsidR="003E124C" w:rsidRDefault="003E124C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0429B8">
      <w:t>Web</w:t>
    </w:r>
    <w:r w:rsidR="00E83E79">
      <w:t>Get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BD71F8">
      <w:rPr>
        <w:noProof/>
      </w:rPr>
      <w:t>2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readStateModB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0429B8">
      <w:t>Web</w:t>
    </w:r>
    <w:r w:rsidR="00E83E79">
      <w:t>Get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BD71F8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24C" w:rsidRDefault="003E124C" w:rsidP="001B271C">
      <w:r>
        <w:separator/>
      </w:r>
    </w:p>
  </w:footnote>
  <w:footnote w:type="continuationSeparator" w:id="0">
    <w:p w:rsidR="003E124C" w:rsidRDefault="003E124C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0429B8">
    <w:pPr>
      <w:pStyle w:val="RTiSWDocHeader"/>
    </w:pPr>
    <w:proofErr w:type="spellStart"/>
    <w:proofErr w:type="gramStart"/>
    <w:r>
      <w:t>Web</w:t>
    </w:r>
    <w:r w:rsidR="00E83E79">
      <w:t>Get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readStateModB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1318C"/>
    <w:multiLevelType w:val="hybridMultilevel"/>
    <w:tmpl w:val="FE828A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429B8"/>
    <w:rsid w:val="000446FD"/>
    <w:rsid w:val="00126BBD"/>
    <w:rsid w:val="001B271C"/>
    <w:rsid w:val="001E623D"/>
    <w:rsid w:val="00294700"/>
    <w:rsid w:val="002E24C9"/>
    <w:rsid w:val="002F08D7"/>
    <w:rsid w:val="003424CD"/>
    <w:rsid w:val="003668C6"/>
    <w:rsid w:val="003E124C"/>
    <w:rsid w:val="0045706E"/>
    <w:rsid w:val="00532B21"/>
    <w:rsid w:val="0055428A"/>
    <w:rsid w:val="005C2C9A"/>
    <w:rsid w:val="0064164C"/>
    <w:rsid w:val="007576A0"/>
    <w:rsid w:val="007970D2"/>
    <w:rsid w:val="00806FB5"/>
    <w:rsid w:val="00860771"/>
    <w:rsid w:val="0095109B"/>
    <w:rsid w:val="00A04A9A"/>
    <w:rsid w:val="00A36E24"/>
    <w:rsid w:val="00A96660"/>
    <w:rsid w:val="00AC38B3"/>
    <w:rsid w:val="00AE2FCE"/>
    <w:rsid w:val="00BA7703"/>
    <w:rsid w:val="00BB498B"/>
    <w:rsid w:val="00BD71F8"/>
    <w:rsid w:val="00E32D06"/>
    <w:rsid w:val="00E83E79"/>
    <w:rsid w:val="00EE2916"/>
    <w:rsid w:val="00F7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E3CFF2-8162-4618-96B1-115797CD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532B2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532B2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4</cp:revision>
  <cp:lastPrinted>2008-06-26T17:41:00Z</cp:lastPrinted>
  <dcterms:created xsi:type="dcterms:W3CDTF">2016-04-10T05:32:00Z</dcterms:created>
  <dcterms:modified xsi:type="dcterms:W3CDTF">2016-04-10T05:48:00Z</dcterms:modified>
</cp:coreProperties>
</file>