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W</w:t>
      </w:r>
      <w:r>
        <w:t>riteD</w:t>
      </w:r>
      <w:r w:rsidR="00807923">
        <w:t>elimitedFile</w:t>
      </w:r>
      <w:r>
        <w:t>()</w:t>
      </w:r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807923">
        <w:t>delimited</w:t>
      </w:r>
      <w:r>
        <w:t xml:space="preserve">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A8103F">
        <w:t>1</w:t>
      </w:r>
      <w:r>
        <w:t>.</w:t>
      </w:r>
      <w:r w:rsidR="002B5569">
        <w:t>1</w:t>
      </w:r>
      <w:r w:rsidR="00A8103F">
        <w:t>3</w:t>
      </w:r>
      <w:r>
        <w:t>.0</w:t>
      </w:r>
      <w:r w:rsidR="00510D85">
        <w:t>0</w:t>
      </w:r>
      <w:r>
        <w:t>, 20</w:t>
      </w:r>
      <w:r w:rsidR="00A46EA9">
        <w:t>1</w:t>
      </w:r>
      <w:r w:rsidR="002B5569">
        <w:t>7</w:t>
      </w:r>
      <w:r>
        <w:t>-</w:t>
      </w:r>
      <w:r w:rsidR="00A8103F">
        <w:t>0</w:t>
      </w:r>
      <w:r w:rsidR="002B5569">
        <w:t>3</w:t>
      </w:r>
      <w:r>
        <w:t>-</w:t>
      </w:r>
      <w:r w:rsidR="002B5569">
        <w:t>08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r w:rsidR="00287360">
        <w:rPr>
          <w:rStyle w:val="RTiSWDocLiteralText"/>
        </w:rPr>
        <w:t>W</w:t>
      </w:r>
      <w:r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r>
        <w:rPr>
          <w:rStyle w:val="RTiSWDocLiteralText"/>
        </w:rPr>
        <w:t>()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807923">
        <w:t xml:space="preserve">delimited </w:t>
      </w:r>
      <w:r>
        <w:t>file</w:t>
      </w:r>
      <w:r w:rsidR="00807923">
        <w:t xml:space="preserve">, for example a comma-separated-value (CSV) file.  The following </w:t>
      </w:r>
      <w:r w:rsidR="00972B21">
        <w:t>constraints apply to this command:</w:t>
      </w:r>
    </w:p>
    <w:p w:rsidR="00972B21" w:rsidRDefault="00972B21">
      <w:pPr>
        <w:numPr>
          <w:ilvl w:val="12"/>
          <w:numId w:val="0"/>
        </w:numPr>
      </w:pP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 xml:space="preserve">The time series being written must have the same data interval – use the </w:t>
      </w:r>
      <w:r w:rsidRPr="00DC7A35">
        <w:rPr>
          <w:rStyle w:val="RTiSWDocLiteralText"/>
        </w:rPr>
        <w:t>TSList</w:t>
      </w:r>
      <w:r>
        <w:t xml:space="preserve"> parameter to select appropriate time series.</w:t>
      </w:r>
    </w:p>
    <w:p w:rsidR="00AA308F" w:rsidRDefault="002B5569" w:rsidP="00972B21">
      <w:pPr>
        <w:pStyle w:val="ListParagraph"/>
        <w:numPr>
          <w:ilvl w:val="0"/>
          <w:numId w:val="12"/>
        </w:numPr>
      </w:pPr>
      <w:r>
        <w:t>Only one i</w:t>
      </w:r>
      <w:r w:rsidR="00AA308F">
        <w:t>rregular time series can</w:t>
      </w:r>
      <w:r>
        <w:t xml:space="preserve"> be written because functionality has not yet been added to properly handle all date/times found in multiple time series</w:t>
      </w:r>
      <w:r w:rsidR="00AA308F">
        <w:t>.</w:t>
      </w:r>
      <w:r>
        <w:t xml:space="preserve">  The output period is adjusted to ensure that actual endpoints found in the time series are used to bound output.</w:t>
      </w:r>
      <w:bookmarkStart w:id="0" w:name="_GoBack"/>
      <w:bookmarkEnd w:id="0"/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The first row in the file contains column headings, which often are used by other software to identify the column: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>By default, no character will be used to surround headings.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The </w:t>
      </w:r>
      <w:r w:rsidRPr="00972B21">
        <w:rPr>
          <w:rStyle w:val="RTiSWDocLiteralText"/>
        </w:rPr>
        <w:t>HeadingSurround</w:t>
      </w:r>
      <w:r>
        <w:t xml:space="preserve"> parameter can be used to specify a character to surround each heading.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If </w:t>
      </w:r>
      <w:r w:rsidRPr="00972B21">
        <w:rPr>
          <w:rStyle w:val="RTiSWDocLiteralText"/>
        </w:rPr>
        <w:t>HeadingSurround</w:t>
      </w:r>
      <w:r w:rsidR="00FE4C6D">
        <w:t xml:space="preserve"> matches a character in a column heading, the character will be removed from the column heading</w:t>
      </w:r>
      <w:r>
        <w:t>.</w:t>
      </w: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Precision for data values and missing value for output can be specified.</w:t>
      </w:r>
    </w:p>
    <w:p w:rsidR="00837554" w:rsidRDefault="00837554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AA308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r>
        <w:t>W</w:t>
      </w:r>
      <w:r w:rsidR="00837554">
        <w:t>riteD</w:t>
      </w:r>
      <w:r w:rsidR="00807923">
        <w:t>elimitedFile</w:t>
      </w:r>
    </w:p>
    <w:p w:rsidR="00837554" w:rsidRDefault="00287360">
      <w:pPr>
        <w:pStyle w:val="RTiSWDocFigureTableTitle"/>
      </w:pPr>
      <w:r>
        <w:t>W</w:t>
      </w:r>
      <w:r w:rsidR="00837554">
        <w:t>riteD</w:t>
      </w:r>
      <w:r w:rsidR="00807923">
        <w:t>elimitedFile</w:t>
      </w:r>
      <w:r w:rsidR="00837554">
        <w:t>() Command Editor</w:t>
      </w:r>
    </w:p>
    <w:p w:rsidR="00837554" w:rsidRDefault="00837554">
      <w:pPr>
        <w:numPr>
          <w:ilvl w:val="12"/>
          <w:numId w:val="0"/>
        </w:numPr>
      </w:pPr>
      <w:bookmarkStart w:id="1" w:name="replaceValue"/>
    </w:p>
    <w:p w:rsidR="00FE4C6D" w:rsidRDefault="00FE4C6D">
      <w:r>
        <w:br w:type="page"/>
      </w:r>
    </w:p>
    <w:p w:rsidR="00837554" w:rsidRDefault="00837554">
      <w:r>
        <w:lastRenderedPageBreak/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r>
        <w:rPr>
          <w:rStyle w:val="RTiSWDocLiteralText"/>
        </w:rPr>
        <w:t>W</w:t>
      </w:r>
      <w:r w:rsidR="00837554"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r w:rsidR="00837554">
        <w:rPr>
          <w:rStyle w:val="RTiSWDocLiteralText"/>
        </w:rPr>
        <w:t>(</w:t>
      </w:r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5277"/>
        <w:gridCol w:w="2140"/>
      </w:tblGrid>
      <w:tr w:rsidR="00837554" w:rsidTr="00F91A67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5394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5394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AllTS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394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8103F">
              <w:t xml:space="preserve">  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9F64ED" w:rsidRDefault="009F64ED" w:rsidP="00095C09">
            <w:r>
              <w:t xml:space="preserve">Required if </w:t>
            </w:r>
            <w:r w:rsidRPr="009F0821">
              <w:rPr>
                <w:rStyle w:val="RTiSWDocLiteralText"/>
              </w:rPr>
              <w:t>TSList=*TSID</w:t>
            </w:r>
            <w:r>
              <w:t>.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5394" w:type="dxa"/>
          </w:tcPr>
          <w:p w:rsidR="009F64ED" w:rsidRDefault="009F64ED" w:rsidP="00095C09">
            <w:r>
              <w:t>The ensemble to be processed, if processing an ensemble.</w:t>
            </w:r>
            <w:r w:rsidR="00A8103F">
              <w:t xml:space="preserve">  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r w:rsidRPr="009F0821">
              <w:rPr>
                <w:rStyle w:val="RTiSWDocLiteralText"/>
              </w:rPr>
              <w:t>TSList=</w:t>
            </w:r>
            <w:r>
              <w:t xml:space="preserve"> </w:t>
            </w:r>
            <w:r>
              <w:rPr>
                <w:rStyle w:val="RTiSWDocLiteralText"/>
              </w:rPr>
              <w:t>EnsembleID</w:t>
            </w:r>
            <w:r>
              <w:t>.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5394" w:type="dxa"/>
          </w:tcPr>
          <w:p w:rsidR="009F64ED" w:rsidRDefault="009F64ED" w:rsidP="00972B21">
            <w:r>
              <w:t xml:space="preserve">The </w:t>
            </w:r>
            <w:r w:rsidR="00972B21">
              <w:t>delimited</w:t>
            </w:r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155" w:type="dxa"/>
          </w:tcPr>
          <w:p w:rsidR="009F64ED" w:rsidRDefault="009F64ED" w:rsidP="00095C09">
            <w:r>
              <w:t>None – must be specified.</w:t>
            </w:r>
          </w:p>
        </w:tc>
      </w:tr>
      <w:tr w:rsidR="00972B21" w:rsidTr="00F91A67">
        <w:trPr>
          <w:jc w:val="center"/>
        </w:trPr>
        <w:tc>
          <w:tcPr>
            <w:tcW w:w="1801" w:type="dxa"/>
          </w:tcPr>
          <w:p w:rsidR="00F91A67" w:rsidRDefault="00972B21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972B21" w:rsidRDefault="00972B21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394" w:type="dxa"/>
          </w:tcPr>
          <w:p w:rsidR="00972B21" w:rsidRDefault="00972B21" w:rsidP="00095C09">
            <w:r>
              <w:t>The name of the column for the date/time.</w:t>
            </w:r>
          </w:p>
        </w:tc>
        <w:tc>
          <w:tcPr>
            <w:tcW w:w="2155" w:type="dxa"/>
          </w:tcPr>
          <w:p w:rsidR="00972B21" w:rsidRDefault="00972B21" w:rsidP="00095C09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r w:rsidRPr="00972B21">
              <w:rPr>
                <w:rStyle w:val="RTiSWDocLiteralText"/>
              </w:rPr>
              <w:t>DateTime</w:t>
            </w:r>
            <w:r>
              <w:t xml:space="preserve"> otherwise.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FormatterType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Specify the date/time formatter type, which indicates the syntax for </w:t>
            </w:r>
            <w:r w:rsidRPr="00581838">
              <w:rPr>
                <w:rStyle w:val="RTiSWDocLiteralText"/>
              </w:rPr>
              <w:t>DateTimeFormat</w:t>
            </w:r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r w:rsidRPr="00581838">
              <w:rPr>
                <w:rStyle w:val="RTiSWDocLiteralText"/>
              </w:rPr>
              <w:t>strftime()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2155" w:type="dxa"/>
          </w:tcPr>
          <w:p w:rsidR="00C4420E" w:rsidRPr="00581838" w:rsidRDefault="00C4420E" w:rsidP="00C4420E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DateTime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format used to expand the date/time corresponding to each time series data value.  The format string can contain literal strings and specifiers supported by the </w:t>
            </w:r>
            <w:r w:rsidRPr="00581838">
              <w:rPr>
                <w:rStyle w:val="RTiSWDocLiteralText"/>
              </w:rPr>
              <w:t>DateTimeFormatterType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/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ValueColumns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${ts:property}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 xml:space="preserve">.  In the future </w:t>
            </w:r>
            <w:r>
              <w:lastRenderedPageBreak/>
              <w:t>a parameter may be added to more specifically define the column names.</w:t>
            </w:r>
            <w:r w:rsidR="00AA308F">
              <w:t xml:space="preserve">  If the column name contains the </w:t>
            </w:r>
            <w:r w:rsidR="00AA308F" w:rsidRPr="00AA308F">
              <w:rPr>
                <w:rStyle w:val="RTiSWDocLiteralText"/>
              </w:rPr>
              <w:t>HeadingSurround</w:t>
            </w:r>
            <w:r w:rsidR="00AA308F">
              <w:t xml:space="preserve"> character, occurrences of the character will be removed.</w:t>
            </w:r>
          </w:p>
        </w:tc>
        <w:tc>
          <w:tcPr>
            <w:tcW w:w="2155" w:type="dxa"/>
          </w:tcPr>
          <w:p w:rsidR="00C4420E" w:rsidRPr="00F91A67" w:rsidRDefault="00C4420E" w:rsidP="00C4420E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lastRenderedPageBreak/>
              <w:t>%L_%T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Heading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Surround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Character that is used to surround column headings.  Specify a double quote using </w:t>
            </w:r>
            <w:r w:rsidRPr="00F91A67">
              <w:rPr>
                <w:rStyle w:val="RTiSWDocLiteralText"/>
              </w:rPr>
              <w:t>\”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No surrounding character.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5394" w:type="dxa"/>
          </w:tcPr>
          <w:p w:rsidR="00C4420E" w:rsidRDefault="00C4420E" w:rsidP="00DE56A7">
            <w:r>
              <w:t xml:space="preserve">The delimiter character to use between data values.  </w:t>
            </w:r>
            <w:r w:rsidR="00DE56A7">
              <w:t xml:space="preserve">Specify </w:t>
            </w:r>
            <w:r w:rsidR="00DE56A7" w:rsidRPr="00DE56A7">
              <w:rPr>
                <w:rStyle w:val="RTiSWDocLiteralText"/>
              </w:rPr>
              <w:t>\t</w:t>
            </w:r>
            <w:r w:rsidR="00DE56A7">
              <w:t xml:space="preserve"> for tab and </w:t>
            </w:r>
            <w:r w:rsidR="00DE56A7" w:rsidRPr="00DE56A7">
              <w:rPr>
                <w:rStyle w:val="RTiSWDocLiteralText"/>
              </w:rPr>
              <w:t>\s</w:t>
            </w:r>
            <w:r w:rsidR="00DE56A7">
              <w:t xml:space="preserve"> for space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Space.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394" w:type="dxa"/>
          </w:tcPr>
          <w:p w:rsidR="00C4420E" w:rsidRDefault="00C4420E" w:rsidP="00C4420E">
            <w:r>
              <w:t>The number of digits after the decimal for numerical output.</w:t>
            </w:r>
          </w:p>
        </w:tc>
        <w:tc>
          <w:tcPr>
            <w:tcW w:w="2155" w:type="dxa"/>
          </w:tcPr>
          <w:p w:rsidR="00C4420E" w:rsidRPr="00A40D58" w:rsidRDefault="00C4420E" w:rsidP="00C4420E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MissingValue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value to write to the file to indicate a missing value in the time series.  This will override the value initialized when the time series is read or created (typically </w:t>
            </w:r>
            <w:r w:rsidRPr="00F91A67">
              <w:rPr>
                <w:rStyle w:val="RTiSWDocLiteralText"/>
              </w:rPr>
              <w:t>-999</w:t>
            </w:r>
            <w:r>
              <w:t xml:space="preserve">, </w:t>
            </w:r>
            <w:r w:rsidRPr="00F91A67">
              <w:rPr>
                <w:rStyle w:val="RTiSWDocLiteralText"/>
              </w:rPr>
              <w:t>NaN</w:t>
            </w:r>
            <w:r>
              <w:t xml:space="preserve"> or another value).</w:t>
            </w:r>
            <w:r w:rsidR="00DE56A7">
              <w:t xml:space="preserve">  Specify </w:t>
            </w:r>
            <w:r w:rsidR="00DE56A7" w:rsidRPr="00DE56A7">
              <w:rPr>
                <w:rStyle w:val="RTiSWDocLiteralText"/>
              </w:rPr>
              <w:t>Blank</w:t>
            </w:r>
            <w:r w:rsidR="00DE56A7">
              <w:t xml:space="preserve"> to output a blank.</w:t>
            </w:r>
          </w:p>
        </w:tc>
        <w:tc>
          <w:tcPr>
            <w:tcW w:w="2155" w:type="dxa"/>
          </w:tcPr>
          <w:p w:rsidR="00C4420E" w:rsidRDefault="00C4420E" w:rsidP="00C4420E">
            <w:r>
              <w:t>Time series missing value.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OutputStart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start of the output. </w:t>
            </w:r>
            <w:r w:rsidR="00A8103F">
              <w:t xml:space="preserve"> 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OutputEnd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end of the output. </w:t>
            </w:r>
            <w:r w:rsidR="00A8103F">
              <w:t xml:space="preserve">  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bookmarkEnd w:id="1"/>
    </w:tbl>
    <w:p w:rsidR="00837554" w:rsidRDefault="00837554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  <w:r>
        <w:rPr>
          <w:color w:val="C0C0C0"/>
        </w:rPr>
        <w:br w:type="page"/>
      </w: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 w:rsidP="00F91A67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F91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D2" w:rsidRDefault="004C1BD2" w:rsidP="00837554">
      <w:r>
        <w:separator/>
      </w:r>
    </w:p>
  </w:endnote>
  <w:endnote w:type="continuationSeparator" w:id="0">
    <w:p w:rsidR="004C1BD2" w:rsidRDefault="004C1BD2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r w:rsidR="00287360">
      <w:t>W</w:t>
    </w:r>
    <w:r>
      <w:t>riteD</w:t>
    </w:r>
    <w:r w:rsidR="00807923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B556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Footer"/>
    </w:pPr>
    <w:r>
      <w:tab/>
    </w:r>
    <w:r>
      <w:tab/>
      <w:t xml:space="preserve">Command Reference – </w:t>
    </w:r>
    <w:r w:rsidR="00F91A67">
      <w:t>W</w:t>
    </w:r>
    <w:r>
      <w:t>riteD</w:t>
    </w:r>
    <w:r w:rsidR="00F91A67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B556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r w:rsidR="00287360">
      <w:t>W</w:t>
    </w:r>
    <w:r>
      <w:t>riteD</w:t>
    </w:r>
    <w:r w:rsidR="00807923">
      <w:t>elimitedFile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B55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D2" w:rsidRDefault="004C1BD2" w:rsidP="00837554">
      <w:r>
        <w:separator/>
      </w:r>
    </w:p>
  </w:footnote>
  <w:footnote w:type="continuationSeparator" w:id="0">
    <w:p w:rsidR="004C1BD2" w:rsidRDefault="004C1BD2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r>
      <w:t>W</w:t>
    </w:r>
    <w:r w:rsidR="00837554">
      <w:t>riteD</w:t>
    </w:r>
    <w:r w:rsidR="00807923">
      <w:t>elimitedFile</w:t>
    </w:r>
    <w:r w:rsidR="00837554">
      <w:t>() Command</w:t>
    </w:r>
    <w:r w:rsidR="00837554">
      <w:tab/>
    </w:r>
    <w:r w:rsidR="0083755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Header"/>
    </w:pPr>
    <w:r>
      <w:t>T</w:t>
    </w:r>
    <w:r w:rsidR="00F91A67">
      <w:t>STool Documentation</w:t>
    </w:r>
    <w:r w:rsidR="00F91A67">
      <w:tab/>
    </w:r>
    <w:r w:rsidR="00F91A67">
      <w:tab/>
      <w:t>W</w:t>
    </w:r>
    <w:r>
      <w:t>riteD</w:t>
    </w:r>
    <w:r w:rsidR="00F91A67">
      <w:t>elimitedFile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8904F2"/>
    <w:multiLevelType w:val="hybridMultilevel"/>
    <w:tmpl w:val="D480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2B5569"/>
    <w:rsid w:val="002B7232"/>
    <w:rsid w:val="0038061B"/>
    <w:rsid w:val="003D5096"/>
    <w:rsid w:val="00422BD5"/>
    <w:rsid w:val="00422D9A"/>
    <w:rsid w:val="00440D04"/>
    <w:rsid w:val="004C1BD2"/>
    <w:rsid w:val="00510D85"/>
    <w:rsid w:val="0066062F"/>
    <w:rsid w:val="00800296"/>
    <w:rsid w:val="00807923"/>
    <w:rsid w:val="00817A8F"/>
    <w:rsid w:val="00837554"/>
    <w:rsid w:val="00857E85"/>
    <w:rsid w:val="00952EFA"/>
    <w:rsid w:val="00972B21"/>
    <w:rsid w:val="009F0821"/>
    <w:rsid w:val="009F64ED"/>
    <w:rsid w:val="00A40D58"/>
    <w:rsid w:val="00A46EA9"/>
    <w:rsid w:val="00A8103F"/>
    <w:rsid w:val="00AA308F"/>
    <w:rsid w:val="00BA255D"/>
    <w:rsid w:val="00BA364C"/>
    <w:rsid w:val="00C4420E"/>
    <w:rsid w:val="00D85CC2"/>
    <w:rsid w:val="00D86CD0"/>
    <w:rsid w:val="00DC7A35"/>
    <w:rsid w:val="00DE56A7"/>
    <w:rsid w:val="00E15ECA"/>
    <w:rsid w:val="00E33919"/>
    <w:rsid w:val="00F80FEF"/>
    <w:rsid w:val="00F91A67"/>
    <w:rsid w:val="00FA7144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1F26D-B457-4A10-8881-332EE18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97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2004-02-15T20:50:00Z</cp:lastPrinted>
  <dcterms:created xsi:type="dcterms:W3CDTF">2013-10-22T16:53:00Z</dcterms:created>
  <dcterms:modified xsi:type="dcterms:W3CDTF">2017-03-10T06:16:00Z</dcterms:modified>
</cp:coreProperties>
</file>