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w:t>
      </w:r>
      <w:r>
        <w:t>rite</w:t>
      </w:r>
      <w:r w:rsidR="00B42D25">
        <w:t>TimeSeriesToDataStore</w:t>
      </w:r>
      <w:r>
        <w:t>()</w:t>
      </w:r>
    </w:p>
    <w:p w:rsidR="00837554" w:rsidRDefault="00837554">
      <w:pPr>
        <w:pStyle w:val="RTiSWDocChapterSubtitle"/>
      </w:pPr>
      <w:r>
        <w:t xml:space="preserve">Write </w:t>
      </w:r>
      <w:r w:rsidR="00287360">
        <w:t>t</w:t>
      </w:r>
      <w:r>
        <w:t xml:space="preserve">ime </w:t>
      </w:r>
      <w:r w:rsidR="00287360">
        <w:t>s</w:t>
      </w:r>
      <w:r>
        <w:t xml:space="preserve">eries to a </w:t>
      </w:r>
      <w:r w:rsidR="00B42D25">
        <w:t>database datastore</w:t>
      </w:r>
    </w:p>
    <w:p w:rsidR="00837554" w:rsidRPr="00510D85" w:rsidRDefault="00837554">
      <w:pPr>
        <w:pStyle w:val="RTiSWDocNote"/>
        <w:rPr>
          <w:rStyle w:val="RTiSWDocLiteralTextInput"/>
        </w:rPr>
      </w:pPr>
      <w:r>
        <w:t xml:space="preserve">Version </w:t>
      </w:r>
      <w:r w:rsidR="00510D85">
        <w:t>1</w:t>
      </w:r>
      <w:r>
        <w:t>0.</w:t>
      </w:r>
      <w:r w:rsidR="00B42D25">
        <w:t>2</w:t>
      </w:r>
      <w:r w:rsidR="00510D85">
        <w:t>0</w:t>
      </w:r>
      <w:r>
        <w:t>.0</w:t>
      </w:r>
      <w:r w:rsidR="00510D85">
        <w:t>0</w:t>
      </w:r>
      <w:r>
        <w:t>, 20</w:t>
      </w:r>
      <w:r w:rsidR="00A46EA9">
        <w:t>1</w:t>
      </w:r>
      <w:r w:rsidR="00B42D25">
        <w:t>3</w:t>
      </w:r>
      <w:r>
        <w:t>-</w:t>
      </w:r>
      <w:r w:rsidR="00B42D25">
        <w:t>06</w:t>
      </w:r>
      <w:r>
        <w:t>-</w:t>
      </w:r>
      <w:r w:rsidR="00B42D25">
        <w:t>08</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B42D25">
        <w:rPr>
          <w:rStyle w:val="RTiSWDocLiteralText"/>
        </w:rPr>
        <w:t>TimeSeriesTo</w:t>
      </w:r>
      <w:r>
        <w:rPr>
          <w:rStyle w:val="RTiSWDocLiteralText"/>
        </w:rPr>
        <w:t>Dat</w:t>
      </w:r>
      <w:r w:rsidR="00B42D25">
        <w:rPr>
          <w:rStyle w:val="RTiSWDocLiteralText"/>
        </w:rPr>
        <w:t>aStore</w:t>
      </w:r>
      <w:r>
        <w:rPr>
          <w:rStyle w:val="RTiSWDocLiteralText"/>
        </w:rPr>
        <w:t>()</w:t>
      </w:r>
      <w:r>
        <w:t xml:space="preserve"> command write</w:t>
      </w:r>
      <w:r w:rsidR="00DC7A35">
        <w:t>s</w:t>
      </w:r>
      <w:r>
        <w:t xml:space="preserve"> time series to the specified </w:t>
      </w:r>
      <w:r w:rsidR="00B42D25">
        <w:t>database datastore</w:t>
      </w:r>
      <w:r>
        <w:t xml:space="preserve">.  </w:t>
      </w:r>
      <w:r w:rsidR="00B42D25">
        <w:t>The datastore database design can be generic.  However, this command can only write to databases that have a supported design structure, as explained below</w:t>
      </w:r>
      <w:r w:rsidR="00DC7A35">
        <w:t>.</w:t>
      </w:r>
      <w:r w:rsidR="00B42D25">
        <w:t xml:space="preserve">  </w:t>
      </w:r>
      <w:r w:rsidR="00B63383">
        <w:t>Currently this command is only available for generic datastores (see the</w:t>
      </w:r>
      <w:r w:rsidR="00B42D25">
        <w:t xml:space="preserve"> </w:t>
      </w:r>
      <w:r w:rsidR="00B42D25">
        <w:rPr>
          <w:rStyle w:val="RTiSWDocSectionReference"/>
        </w:rPr>
        <w:t>Generic Database Datas</w:t>
      </w:r>
      <w:r w:rsidR="00B42D25" w:rsidRPr="00171292">
        <w:rPr>
          <w:rStyle w:val="RTiSWDocSectionReference"/>
        </w:rPr>
        <w:t>tore</w:t>
      </w:r>
      <w:r w:rsidR="00B42D25">
        <w:t xml:space="preserve"> appendix).  This command cannot be used with web service datastores and use with Excel datastores has not been tested. This command is useful in particular for bulk data loading such as for database initialization and when tight integration with TSTool is not required or has not been implemented</w:t>
      </w:r>
      <w:r w:rsidR="00B63383">
        <w:t>.</w:t>
      </w:r>
    </w:p>
    <w:p w:rsidR="00B63383" w:rsidRDefault="00B63383">
      <w:pPr>
        <w:numPr>
          <w:ilvl w:val="12"/>
          <w:numId w:val="0"/>
        </w:numPr>
      </w:pPr>
    </w:p>
    <w:p w:rsidR="00B63383" w:rsidRDefault="00B63383">
      <w:pPr>
        <w:numPr>
          <w:ilvl w:val="12"/>
          <w:numId w:val="0"/>
        </w:numPr>
      </w:pPr>
      <w:r>
        <w:t>Currently, this command assumes that the database design is someone time series centric and can be mapped to TSTool time series identifiers (Location.DataSource.DataType.Interval) and provide other time series properties (data units, other properties associated with the time series or associated location), with core tables as follows:</w:t>
      </w:r>
    </w:p>
    <w:p w:rsidR="00B63383" w:rsidRDefault="00B63383">
      <w:pPr>
        <w:numPr>
          <w:ilvl w:val="12"/>
          <w:numId w:val="0"/>
        </w:numPr>
      </w:pPr>
    </w:p>
    <w:p w:rsidR="00B63383" w:rsidRDefault="00B63383" w:rsidP="00B63383">
      <w:pPr>
        <w:pStyle w:val="ListParagraph"/>
        <w:numPr>
          <w:ilvl w:val="0"/>
          <w:numId w:val="13"/>
        </w:numPr>
      </w:pPr>
      <w:r>
        <w:t>Definitions, such as data types, data units, data source (providers)</w:t>
      </w:r>
    </w:p>
    <w:p w:rsidR="00B63383" w:rsidRDefault="00B63383" w:rsidP="00B63383">
      <w:pPr>
        <w:pStyle w:val="ListParagraph"/>
        <w:numPr>
          <w:ilvl w:val="0"/>
          <w:numId w:val="13"/>
        </w:numPr>
      </w:pPr>
      <w:r>
        <w:t>Locations</w:t>
      </w:r>
    </w:p>
    <w:p w:rsidR="00B63383" w:rsidRDefault="00B63383" w:rsidP="00B63383">
      <w:pPr>
        <w:pStyle w:val="ListParagraph"/>
        <w:numPr>
          <w:ilvl w:val="0"/>
          <w:numId w:val="13"/>
        </w:numPr>
      </w:pPr>
      <w:r>
        <w:t>Time series metadata (relationships to the above)</w:t>
      </w:r>
    </w:p>
    <w:p w:rsidR="00B63383" w:rsidRDefault="00B63383" w:rsidP="00B63383">
      <w:pPr>
        <w:pStyle w:val="ListParagraph"/>
        <w:numPr>
          <w:ilvl w:val="0"/>
          <w:numId w:val="13"/>
        </w:numPr>
      </w:pPr>
      <w:r>
        <w:t>Time series data records (associated with a time series metadata record)</w:t>
      </w:r>
    </w:p>
    <w:p w:rsidR="00B63383" w:rsidRDefault="00B63383">
      <w:pPr>
        <w:numPr>
          <w:ilvl w:val="12"/>
          <w:numId w:val="0"/>
        </w:numPr>
      </w:pPr>
    </w:p>
    <w:p w:rsidR="00B63383" w:rsidRDefault="00B63383">
      <w:pPr>
        <w:numPr>
          <w:ilvl w:val="12"/>
          <w:numId w:val="0"/>
        </w:numPr>
      </w:pPr>
      <w:r>
        <w:t>Relationships between the above tables are handled by mapping time series properties to database tables and columns.</w:t>
      </w:r>
      <w:bookmarkStart w:id="0" w:name="_GoBack"/>
      <w:bookmarkEnd w:id="0"/>
    </w:p>
    <w:p w:rsidR="00837554" w:rsidRDefault="00837554">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B42D25">
      <w:pPr>
        <w:numPr>
          <w:ilvl w:val="12"/>
          <w:numId w:val="0"/>
        </w:numPr>
        <w:jc w:val="center"/>
      </w:pPr>
      <w:r>
        <w:rPr>
          <w:noProof/>
        </w:rPr>
        <w:drawing>
          <wp:inline distT="0" distB="0" distL="0" distR="0">
            <wp:extent cx="594360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imeSeriesToDataSto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837554" w:rsidRDefault="00287360">
      <w:pPr>
        <w:pStyle w:val="RTiSWDocNote"/>
      </w:pPr>
      <w:r>
        <w:t>W</w:t>
      </w:r>
      <w:r w:rsidR="00837554">
        <w:t>rite</w:t>
      </w:r>
      <w:r w:rsidR="00B42D25">
        <w:t>TimeSeriesToDataStore</w:t>
      </w:r>
    </w:p>
    <w:p w:rsidR="00837554" w:rsidRDefault="00287360">
      <w:pPr>
        <w:pStyle w:val="RTiSWDocFigureTableTitle"/>
      </w:pPr>
      <w:r>
        <w:lastRenderedPageBreak/>
        <w:t>W</w:t>
      </w:r>
      <w:r w:rsidR="00837554">
        <w:t>rite</w:t>
      </w:r>
      <w:r w:rsidR="00B42D25">
        <w:t>TimeSeriesToDataStore</w:t>
      </w:r>
      <w:r w:rsidR="00837554">
        <w:t>() Command Editor</w:t>
      </w:r>
    </w:p>
    <w:p w:rsidR="00837554" w:rsidRDefault="00837554">
      <w:pPr>
        <w:numPr>
          <w:ilvl w:val="12"/>
          <w:numId w:val="0"/>
        </w:numPr>
      </w:pPr>
      <w:bookmarkStart w:id="1" w:name="replaceValue"/>
    </w:p>
    <w:p w:rsidR="00837554" w:rsidRDefault="00837554">
      <w:r>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B42D25">
        <w:rPr>
          <w:rStyle w:val="RTiSWDocLiteralText"/>
        </w:rPr>
        <w:t>TimeSeriesToDataStore</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2"/>
        <w:gridCol w:w="4912"/>
        <w:gridCol w:w="2616"/>
      </w:tblGrid>
      <w:tr w:rsidR="00837554" w:rsidTr="00B42D25">
        <w:tblPrEx>
          <w:tblCellMar>
            <w:top w:w="0" w:type="dxa"/>
            <w:bottom w:w="0" w:type="dxa"/>
          </w:tblCellMar>
        </w:tblPrEx>
        <w:trPr>
          <w:tblHeader/>
          <w:jc w:val="center"/>
        </w:trPr>
        <w:tc>
          <w:tcPr>
            <w:tcW w:w="1822" w:type="dxa"/>
            <w:shd w:val="clear" w:color="auto" w:fill="C0C0C0"/>
          </w:tcPr>
          <w:p w:rsidR="00837554" w:rsidRDefault="00837554">
            <w:pPr>
              <w:pStyle w:val="RTiSWDocTableHeading"/>
            </w:pPr>
            <w:r>
              <w:t>Parameter</w:t>
            </w:r>
          </w:p>
        </w:tc>
        <w:tc>
          <w:tcPr>
            <w:tcW w:w="4912" w:type="dxa"/>
            <w:shd w:val="clear" w:color="auto" w:fill="C0C0C0"/>
          </w:tcPr>
          <w:p w:rsidR="00837554" w:rsidRDefault="00837554">
            <w:pPr>
              <w:pStyle w:val="RTiSWDocTableHeading"/>
            </w:pPr>
            <w:r>
              <w:t>Description</w:t>
            </w:r>
          </w:p>
        </w:tc>
        <w:tc>
          <w:tcPr>
            <w:tcW w:w="2616" w:type="dxa"/>
            <w:shd w:val="clear" w:color="auto" w:fill="C0C0C0"/>
          </w:tcPr>
          <w:p w:rsidR="00837554" w:rsidRDefault="00837554">
            <w:pPr>
              <w:pStyle w:val="RTiSWDocTableHeading"/>
            </w:pPr>
            <w:r>
              <w:t>Default</w:t>
            </w:r>
          </w:p>
        </w:tc>
      </w:tr>
      <w:tr w:rsidR="009F64ED" w:rsidTr="00B42D2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TSList</w:t>
            </w:r>
          </w:p>
        </w:tc>
        <w:tc>
          <w:tcPr>
            <w:tcW w:w="4912"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616" w:type="dxa"/>
          </w:tcPr>
          <w:p w:rsidR="009F64ED" w:rsidRDefault="009F64ED" w:rsidP="00095C09">
            <w:pPr>
              <w:rPr>
                <w:rStyle w:val="RTiSWDocLiteralText"/>
              </w:rPr>
            </w:pPr>
            <w:r>
              <w:rPr>
                <w:rStyle w:val="RTiSWDocLiteralText"/>
              </w:rPr>
              <w:t>AllTS</w:t>
            </w:r>
          </w:p>
        </w:tc>
      </w:tr>
      <w:tr w:rsidR="009F64ED" w:rsidTr="00B42D2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TSID</w:t>
            </w:r>
          </w:p>
        </w:tc>
        <w:tc>
          <w:tcPr>
            <w:tcW w:w="4912"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616" w:type="dxa"/>
          </w:tcPr>
          <w:p w:rsidR="009F64ED" w:rsidRDefault="009F64ED" w:rsidP="00095C09">
            <w:r>
              <w:t xml:space="preserve">Required if </w:t>
            </w:r>
            <w:r w:rsidRPr="009F0821">
              <w:rPr>
                <w:rStyle w:val="RTiSWDocLiteralText"/>
              </w:rPr>
              <w:t>TSList=*TSID</w:t>
            </w:r>
            <w:r>
              <w:t>.</w:t>
            </w:r>
          </w:p>
        </w:tc>
      </w:tr>
      <w:tr w:rsidR="009F64ED" w:rsidTr="00B42D2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EnsembleID</w:t>
            </w:r>
          </w:p>
        </w:tc>
        <w:tc>
          <w:tcPr>
            <w:tcW w:w="4912" w:type="dxa"/>
          </w:tcPr>
          <w:p w:rsidR="009F64ED" w:rsidRDefault="009F64ED" w:rsidP="00095C09">
            <w:r>
              <w:t>The ensemble to be processed, if processing an ensemble.</w:t>
            </w:r>
          </w:p>
        </w:tc>
        <w:tc>
          <w:tcPr>
            <w:tcW w:w="2616"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B42D25">
        <w:tblPrEx>
          <w:tblCellMar>
            <w:top w:w="0" w:type="dxa"/>
            <w:bottom w:w="0" w:type="dxa"/>
          </w:tblCellMar>
        </w:tblPrEx>
        <w:trPr>
          <w:jc w:val="center"/>
        </w:trPr>
        <w:tc>
          <w:tcPr>
            <w:tcW w:w="1822" w:type="dxa"/>
          </w:tcPr>
          <w:p w:rsidR="009F64ED" w:rsidRDefault="009F64ED">
            <w:pPr>
              <w:rPr>
                <w:rStyle w:val="RTiSWDocLiteralText"/>
              </w:rPr>
            </w:pPr>
            <w:r>
              <w:rPr>
                <w:rStyle w:val="RTiSWDocLiteralText"/>
              </w:rPr>
              <w:t>MissingValue</w:t>
            </w:r>
          </w:p>
        </w:tc>
        <w:tc>
          <w:tcPr>
            <w:tcW w:w="4912" w:type="dxa"/>
          </w:tcPr>
          <w:p w:rsidR="009F64ED" w:rsidRDefault="009F64ED">
            <w:r>
              <w:t>The value to write to the file to indicate a missing value in the time series.</w:t>
            </w:r>
          </w:p>
        </w:tc>
        <w:tc>
          <w:tcPr>
            <w:tcW w:w="2616" w:type="dxa"/>
          </w:tcPr>
          <w:p w:rsidR="009F64ED" w:rsidRDefault="009F64ED">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9F64ED" w:rsidTr="00B42D25">
        <w:tblPrEx>
          <w:tblCellMar>
            <w:top w:w="0" w:type="dxa"/>
            <w:bottom w:w="0" w:type="dxa"/>
          </w:tblCellMar>
        </w:tblPrEx>
        <w:trPr>
          <w:jc w:val="center"/>
        </w:trPr>
        <w:tc>
          <w:tcPr>
            <w:tcW w:w="1822" w:type="dxa"/>
          </w:tcPr>
          <w:p w:rsidR="009F64ED" w:rsidRDefault="009F64ED">
            <w:pPr>
              <w:rPr>
                <w:rStyle w:val="RTiSWDocLiteralText"/>
              </w:rPr>
            </w:pPr>
            <w:r>
              <w:rPr>
                <w:rStyle w:val="RTiSWDocLiteralText"/>
              </w:rPr>
              <w:t>OutputStart</w:t>
            </w:r>
          </w:p>
        </w:tc>
        <w:tc>
          <w:tcPr>
            <w:tcW w:w="4912" w:type="dxa"/>
          </w:tcPr>
          <w:p w:rsidR="009F64ED" w:rsidRDefault="009F64ED">
            <w:r>
              <w:t xml:space="preserve">The date/time for the start of the output. </w:t>
            </w:r>
          </w:p>
        </w:tc>
        <w:tc>
          <w:tcPr>
            <w:tcW w:w="2616" w:type="dxa"/>
          </w:tcPr>
          <w:p w:rsidR="009F64ED" w:rsidRDefault="009F64ED">
            <w:r>
              <w:t>Use the global output period.</w:t>
            </w:r>
          </w:p>
        </w:tc>
      </w:tr>
      <w:tr w:rsidR="009F64ED" w:rsidTr="00B42D25">
        <w:tblPrEx>
          <w:tblCellMar>
            <w:top w:w="0" w:type="dxa"/>
            <w:bottom w:w="0" w:type="dxa"/>
          </w:tblCellMar>
        </w:tblPrEx>
        <w:trPr>
          <w:jc w:val="center"/>
        </w:trPr>
        <w:tc>
          <w:tcPr>
            <w:tcW w:w="1822" w:type="dxa"/>
          </w:tcPr>
          <w:p w:rsidR="009F64ED" w:rsidRDefault="009F64ED">
            <w:pPr>
              <w:rPr>
                <w:rStyle w:val="RTiSWDocLiteralText"/>
              </w:rPr>
            </w:pPr>
            <w:r>
              <w:rPr>
                <w:rStyle w:val="RTiSWDocLiteralText"/>
              </w:rPr>
              <w:t>OutputEnd</w:t>
            </w:r>
          </w:p>
        </w:tc>
        <w:tc>
          <w:tcPr>
            <w:tcW w:w="4912" w:type="dxa"/>
          </w:tcPr>
          <w:p w:rsidR="009F64ED" w:rsidRDefault="009F64ED">
            <w:r>
              <w:t xml:space="preserve">The date/time for the end of the output. </w:t>
            </w:r>
          </w:p>
        </w:tc>
        <w:tc>
          <w:tcPr>
            <w:tcW w:w="2616" w:type="dxa"/>
          </w:tcPr>
          <w:p w:rsidR="009F64ED" w:rsidRDefault="009F64ED">
            <w:r>
              <w:t>Use the global output period.</w:t>
            </w:r>
          </w:p>
        </w:tc>
      </w:tr>
      <w:tr w:rsidR="00B42D25" w:rsidTr="00B42D25">
        <w:tblPrEx>
          <w:tblCellMar>
            <w:top w:w="0" w:type="dxa"/>
            <w:bottom w:w="0" w:type="dxa"/>
          </w:tblCellMar>
        </w:tblPrEx>
        <w:trPr>
          <w:jc w:val="center"/>
        </w:trPr>
        <w:tc>
          <w:tcPr>
            <w:tcW w:w="1822" w:type="dxa"/>
          </w:tcPr>
          <w:p w:rsidR="00B42D25" w:rsidRDefault="00B42D25" w:rsidP="00B42D25">
            <w:pPr>
              <w:rPr>
                <w:rStyle w:val="RTiSWDocLiteralText"/>
              </w:rPr>
            </w:pPr>
            <w:r>
              <w:rPr>
                <w:rStyle w:val="RTiSWDocLiteralText"/>
              </w:rPr>
              <w:t>DataStore</w:t>
            </w:r>
          </w:p>
        </w:tc>
        <w:tc>
          <w:tcPr>
            <w:tcW w:w="4912" w:type="dxa"/>
          </w:tcPr>
          <w:p w:rsidR="00B42D25" w:rsidRDefault="00B42D25" w:rsidP="00B42D25">
            <w:r>
              <w:t xml:space="preserve">The name of a database datastore to receive data. </w:t>
            </w:r>
          </w:p>
        </w:tc>
        <w:tc>
          <w:tcPr>
            <w:tcW w:w="2616" w:type="dxa"/>
          </w:tcPr>
          <w:p w:rsidR="00B42D25" w:rsidRDefault="00B42D25" w:rsidP="00B42D25">
            <w:r>
              <w:t>None – must be specified.</w:t>
            </w:r>
          </w:p>
        </w:tc>
      </w:tr>
      <w:tr w:rsidR="00B42D25" w:rsidTr="00B42D25">
        <w:tblPrEx>
          <w:tblCellMar>
            <w:top w:w="0" w:type="dxa"/>
            <w:bottom w:w="0" w:type="dxa"/>
          </w:tblCellMar>
        </w:tblPrEx>
        <w:trPr>
          <w:jc w:val="center"/>
        </w:trPr>
        <w:tc>
          <w:tcPr>
            <w:tcW w:w="1822" w:type="dxa"/>
          </w:tcPr>
          <w:p w:rsidR="00B42D25" w:rsidRDefault="00B42D25" w:rsidP="00B42D25">
            <w:pPr>
              <w:rPr>
                <w:rStyle w:val="RTiSWDocLiteralText"/>
              </w:rPr>
            </w:pPr>
            <w:r>
              <w:rPr>
                <w:rStyle w:val="RTiSWDocLiteralText"/>
              </w:rPr>
              <w:t>WriteMode</w:t>
            </w:r>
          </w:p>
        </w:tc>
        <w:tc>
          <w:tcPr>
            <w:tcW w:w="4912" w:type="dxa"/>
          </w:tcPr>
          <w:p w:rsidR="00B42D25" w:rsidRDefault="00B42D25" w:rsidP="00B42D25">
            <w:r>
              <w:t xml:space="preserve">The method used to write time series data records, recognizing the databases use insert and update SQL statements.  Note that any insert/update actions only occur on exact matches of date/time, not on a period.  For example, </w:t>
            </w:r>
            <w:r w:rsidRPr="00B42D25">
              <w:rPr>
                <w:rStyle w:val="RTiSWDocLiteralText"/>
              </w:rPr>
              <w:t>DeleteInsert</w:t>
            </w:r>
            <w:r>
              <w:t xml:space="preserve"> only deletes records that match the specific date/time of a value in the time series.  Specify </w:t>
            </w:r>
            <w:r w:rsidRPr="00B42D25">
              <w:rPr>
                <w:rStyle w:val="RTiSWDocLiteralText"/>
              </w:rPr>
              <w:t>WriteMode</w:t>
            </w:r>
            <w:r>
              <w:t xml:space="preserve"> as:</w:t>
            </w:r>
          </w:p>
          <w:p w:rsidR="00B42D25" w:rsidRDefault="00B42D25" w:rsidP="00B42D25">
            <w:pPr>
              <w:numPr>
                <w:ilvl w:val="0"/>
                <w:numId w:val="12"/>
              </w:numPr>
            </w:pPr>
            <w:r w:rsidRPr="00A41C9B">
              <w:rPr>
                <w:rStyle w:val="RTiSWDocLiteralText"/>
              </w:rPr>
              <w:lastRenderedPageBreak/>
              <w:t>DeleteInsert</w:t>
            </w:r>
            <w:r>
              <w:t xml:space="preserve"> – delete the data first and then insert (all values will need to be matched to delete)</w:t>
            </w:r>
          </w:p>
          <w:p w:rsidR="00B42D25" w:rsidRDefault="00B42D25" w:rsidP="00B42D25">
            <w:pPr>
              <w:numPr>
                <w:ilvl w:val="0"/>
                <w:numId w:val="12"/>
              </w:numPr>
            </w:pPr>
            <w:r w:rsidRPr="00A41C9B">
              <w:rPr>
                <w:rStyle w:val="RTiSWDocLiteralText"/>
              </w:rPr>
              <w:t>Insert</w:t>
            </w:r>
            <w:r>
              <w:t xml:space="preserve"> – insert the data with no attempt to update if the insert fails</w:t>
            </w:r>
          </w:p>
          <w:p w:rsidR="00B42D25" w:rsidRDefault="00B42D25" w:rsidP="00B42D25">
            <w:pPr>
              <w:numPr>
                <w:ilvl w:val="0"/>
                <w:numId w:val="12"/>
              </w:numPr>
            </w:pPr>
            <w:r w:rsidRPr="00A41C9B">
              <w:rPr>
                <w:rStyle w:val="RTiSWDocLiteralText"/>
              </w:rPr>
              <w:t>InsertUpdate</w:t>
            </w:r>
            <w:r>
              <w:t xml:space="preserve"> – try inserting the data first and if that fails try to update</w:t>
            </w:r>
          </w:p>
          <w:p w:rsidR="00B42D25" w:rsidRDefault="00B42D25" w:rsidP="00B42D25">
            <w:pPr>
              <w:numPr>
                <w:ilvl w:val="0"/>
                <w:numId w:val="12"/>
              </w:numPr>
            </w:pPr>
            <w:r w:rsidRPr="00A41C9B">
              <w:rPr>
                <w:rStyle w:val="RTiSWDocLiteralText"/>
              </w:rPr>
              <w:t>Update</w:t>
            </w:r>
            <w:r>
              <w:t xml:space="preserve"> – update the data with no attempt to insert if the update fails</w:t>
            </w:r>
          </w:p>
          <w:p w:rsidR="00B42D25" w:rsidRDefault="00B42D25" w:rsidP="00B42D25">
            <w:pPr>
              <w:numPr>
                <w:ilvl w:val="0"/>
                <w:numId w:val="12"/>
              </w:numPr>
            </w:pPr>
            <w:r w:rsidRPr="00A41C9B">
              <w:rPr>
                <w:rStyle w:val="RTiSWDocLiteralText"/>
              </w:rPr>
              <w:t>UpdateInsert</w:t>
            </w:r>
            <w:r>
              <w:t xml:space="preserve"> – try updating the data first and if that fails try to insert</w:t>
            </w:r>
          </w:p>
        </w:tc>
        <w:tc>
          <w:tcPr>
            <w:tcW w:w="2616" w:type="dxa"/>
          </w:tcPr>
          <w:p w:rsidR="00B42D25" w:rsidRPr="00A41C9B" w:rsidRDefault="00B42D25" w:rsidP="00B42D25">
            <w:pPr>
              <w:rPr>
                <w:rStyle w:val="RTiSWDocLiteralText"/>
              </w:rPr>
            </w:pPr>
            <w:r w:rsidRPr="00A41C9B">
              <w:rPr>
                <w:rStyle w:val="RTiSWDocLiteralText"/>
              </w:rPr>
              <w:lastRenderedPageBreak/>
              <w:t>InsertUpdate</w:t>
            </w:r>
          </w:p>
        </w:tc>
      </w:tr>
      <w:bookmarkEnd w:id="1"/>
    </w:tbl>
    <w:p w:rsidR="00837554" w:rsidRDefault="00837554">
      <w:pPr>
        <w:rPr>
          <w:color w:val="C0C0C0"/>
        </w:rPr>
      </w:pPr>
    </w:p>
    <w:sectPr w:rsidR="0083755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AF2" w:rsidRDefault="00E70AF2" w:rsidP="00837554">
      <w:r>
        <w:separator/>
      </w:r>
    </w:p>
  </w:endnote>
  <w:endnote w:type="continuationSeparator" w:id="0">
    <w:p w:rsidR="00E70AF2" w:rsidRDefault="00E70AF2"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 xml:space="preserve">Command Reference – </w:t>
    </w:r>
    <w:r w:rsidR="00287360">
      <w:t>W</w:t>
    </w:r>
    <w:r>
      <w:t>rite</w:t>
    </w:r>
    <w:r w:rsidR="00B63383">
      <w:t>TimeSeriesToDataStore</w:t>
    </w:r>
    <w:r>
      <w:t xml:space="preserve">() - </w:t>
    </w:r>
    <w:r>
      <w:fldChar w:fldCharType="begin"/>
    </w:r>
    <w:r>
      <w:instrText xml:space="preserve"> PAGE </w:instrText>
    </w:r>
    <w:r>
      <w:fldChar w:fldCharType="separate"/>
    </w:r>
    <w:r w:rsidR="00B63383">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B63383">
    <w:pPr>
      <w:pStyle w:val="RTiSWDocFooter"/>
    </w:pPr>
    <w:r>
      <w:tab/>
    </w:r>
    <w:r>
      <w:tab/>
      <w:t xml:space="preserve">Command Reference – </w:t>
    </w:r>
    <w:r w:rsidR="00B63383">
      <w:t>W</w:t>
    </w:r>
    <w:r>
      <w:t>rite</w:t>
    </w:r>
    <w:r w:rsidR="00B63383">
      <w:t>TimeSeriesToDataStore</w:t>
    </w:r>
    <w:r>
      <w:t xml:space="preserve">() - </w:t>
    </w:r>
    <w:r>
      <w:fldChar w:fldCharType="begin"/>
    </w:r>
    <w:r>
      <w:instrText xml:space="preserve"> PAGE </w:instrText>
    </w:r>
    <w:r>
      <w:fldChar w:fldCharType="separate"/>
    </w:r>
    <w:r w:rsidR="00B6338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r w:rsidR="00287360">
      <w:t>W</w:t>
    </w:r>
    <w:r>
      <w:t>rite</w:t>
    </w:r>
    <w:r w:rsidR="00B63383">
      <w:t>TimeSeriesToDataStore</w:t>
    </w:r>
    <w:r>
      <w:t xml:space="preserve">() - </w:t>
    </w:r>
    <w:r>
      <w:fldChar w:fldCharType="begin"/>
    </w:r>
    <w:r>
      <w:instrText xml:space="preserve"> PAGE </w:instrText>
    </w:r>
    <w:r>
      <w:fldChar w:fldCharType="separate"/>
    </w:r>
    <w:r w:rsidR="00B6338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AF2" w:rsidRDefault="00E70AF2" w:rsidP="00837554">
      <w:r>
        <w:separator/>
      </w:r>
    </w:p>
  </w:footnote>
  <w:footnote w:type="continuationSeparator" w:id="0">
    <w:p w:rsidR="00E70AF2" w:rsidRDefault="00E70AF2"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r>
      <w:t>W</w:t>
    </w:r>
    <w:r w:rsidR="00837554">
      <w:t>rite</w:t>
    </w:r>
    <w:r w:rsidR="00B63383">
      <w:t>TimeSeriesToDataStore</w:t>
    </w:r>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B63383">
    <w:pPr>
      <w:pStyle w:val="RTiSWDocHeader"/>
    </w:pPr>
    <w:r>
      <w:t>T</w:t>
    </w:r>
    <w:r w:rsidR="00B63383">
      <w:t>STool Documentation</w:t>
    </w:r>
    <w:r w:rsidR="00B63383">
      <w:tab/>
    </w:r>
    <w:r w:rsidR="00B63383">
      <w:tab/>
      <w:t>W</w:t>
    </w:r>
    <w:r>
      <w:t>rite</w:t>
    </w:r>
    <w:r w:rsidR="00B63383">
      <w:t>TimeSeriesToDataStore(</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4D1734"/>
    <w:multiLevelType w:val="hybridMultilevel"/>
    <w:tmpl w:val="B89E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46BCB"/>
    <w:multiLevelType w:val="hybridMultilevel"/>
    <w:tmpl w:val="555AC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5C09"/>
    <w:rsid w:val="00174B13"/>
    <w:rsid w:val="00287360"/>
    <w:rsid w:val="0038061B"/>
    <w:rsid w:val="003D5096"/>
    <w:rsid w:val="00422BD5"/>
    <w:rsid w:val="00422D9A"/>
    <w:rsid w:val="00440D04"/>
    <w:rsid w:val="00510D85"/>
    <w:rsid w:val="00800296"/>
    <w:rsid w:val="00837554"/>
    <w:rsid w:val="00857E85"/>
    <w:rsid w:val="00952EFA"/>
    <w:rsid w:val="00962D43"/>
    <w:rsid w:val="009F0821"/>
    <w:rsid w:val="009F64ED"/>
    <w:rsid w:val="00A40D58"/>
    <w:rsid w:val="00A46EA9"/>
    <w:rsid w:val="00B42D25"/>
    <w:rsid w:val="00B63383"/>
    <w:rsid w:val="00BA364C"/>
    <w:rsid w:val="00D85CC2"/>
    <w:rsid w:val="00D86CD0"/>
    <w:rsid w:val="00DC7A35"/>
    <w:rsid w:val="00E33919"/>
    <w:rsid w:val="00E70AF2"/>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F2B6AF4-B754-49F2-8C95-5461A57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B63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3</cp:revision>
  <cp:lastPrinted>2004-02-15T20:50:00Z</cp:lastPrinted>
  <dcterms:created xsi:type="dcterms:W3CDTF">2013-06-08T20:37:00Z</dcterms:created>
  <dcterms:modified xsi:type="dcterms:W3CDTF">2013-06-08T21:05:00Z</dcterms:modified>
</cp:coreProperties>
</file>