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541E25">
        <w:t>0</w:t>
      </w:r>
      <w:r>
        <w:t>.</w:t>
      </w:r>
      <w:r w:rsidR="005E47B3">
        <w:t>0</w:t>
      </w:r>
      <w:r w:rsidR="00C729E4">
        <w:t>0</w:t>
      </w:r>
      <w:r>
        <w:t>, 20</w:t>
      </w:r>
      <w:r w:rsidR="00254B62">
        <w:t>1</w:t>
      </w:r>
      <w:r w:rsidR="00A86FE4">
        <w:t>6</w:t>
      </w:r>
      <w:r>
        <w:t>-</w:t>
      </w:r>
      <w:r w:rsidR="00A86FE4">
        <w:t>0</w:t>
      </w:r>
      <w:r w:rsidR="00E309CC">
        <w:t>3</w:t>
      </w:r>
      <w:r>
        <w:t>-</w:t>
      </w:r>
      <w:r w:rsidR="00394184">
        <w:t>31</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F80E42" w:rsidTr="00A02AF5">
        <w:trPr>
          <w:cantSplit/>
          <w:jc w:val="center"/>
        </w:trPr>
        <w:tc>
          <w:tcPr>
            <w:tcW w:w="1072" w:type="dxa"/>
          </w:tcPr>
          <w:p w:rsidR="00F80E42" w:rsidRDefault="00F80E42" w:rsidP="00C729E4">
            <w:pPr>
              <w:rPr>
                <w:sz w:val="20"/>
              </w:rPr>
            </w:pPr>
            <w:r>
              <w:rPr>
                <w:sz w:val="20"/>
              </w:rPr>
              <w:t>11.09.00</w:t>
            </w:r>
            <w:r w:rsidR="00F9709E">
              <w:rPr>
                <w:sz w:val="20"/>
              </w:rPr>
              <w:t xml:space="preserve"> – 11.</w:t>
            </w:r>
            <w:r w:rsidR="00C729E4">
              <w:rPr>
                <w:sz w:val="20"/>
              </w:rPr>
              <w:t>1</w:t>
            </w:r>
            <w:r w:rsidR="00F9709E">
              <w:rPr>
                <w:sz w:val="20"/>
              </w:rPr>
              <w:t>0.0</w:t>
            </w:r>
            <w:r w:rsidR="00C729E4">
              <w:rPr>
                <w:sz w:val="20"/>
              </w:rPr>
              <w:t>0</w:t>
            </w:r>
          </w:p>
        </w:tc>
        <w:tc>
          <w:tcPr>
            <w:tcW w:w="7020" w:type="dxa"/>
          </w:tcPr>
          <w:p w:rsidR="00F80E42" w:rsidRDefault="00F80E42" w:rsidP="00F80E42">
            <w:pPr>
              <w:rPr>
                <w:sz w:val="20"/>
              </w:rPr>
            </w:pPr>
            <w:r>
              <w:rPr>
                <w:sz w:val="20"/>
              </w:rPr>
              <w:t>TSTool configuration files have been added to the user’s home folder 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Begin prototyping plug-in datastore and command features.</w:t>
            </w:r>
          </w:p>
        </w:tc>
        <w:tc>
          <w:tcPr>
            <w:tcW w:w="1187" w:type="dxa"/>
          </w:tcPr>
          <w:p w:rsidR="00F80E42" w:rsidRDefault="00A5696B" w:rsidP="00394184">
            <w:pPr>
              <w:rPr>
                <w:sz w:val="20"/>
              </w:rPr>
            </w:pPr>
            <w:r>
              <w:rPr>
                <w:sz w:val="20"/>
              </w:rPr>
              <w:t>2016-0</w:t>
            </w:r>
            <w:r w:rsidR="00F9709E">
              <w:rPr>
                <w:sz w:val="20"/>
              </w:rPr>
              <w:t>3</w:t>
            </w:r>
            <w:r>
              <w:rPr>
                <w:sz w:val="20"/>
              </w:rPr>
              <w:t>-</w:t>
            </w:r>
            <w:r w:rsidR="00394184">
              <w:rPr>
                <w:sz w:val="20"/>
              </w:rPr>
              <w:t>31</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lastRenderedPageBreak/>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lastRenderedPageBreak/>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C729E4">
        <w:t>0</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w:t>
      </w:r>
      <w:r>
        <w:t>TSTool’s handling of time zone has been made more robust.  Internal date/time objects are initialized with the local time zone ID (previously used display string).  Greater care is taken to handle daylight savings time</w:t>
      </w:r>
      <w:r>
        <w:t>.</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w:t>
      </w:r>
      <w:r>
        <w:t>1</w:t>
      </w:r>
      <w:r>
        <w:t>0.00] Add</w:t>
      </w:r>
      <w:r>
        <w:t xml:space="preserve"> preliminary new </w:t>
      </w:r>
      <w:r>
        <w:t xml:space="preserve"> </w:t>
      </w:r>
      <w:r w:rsidRPr="008379BC">
        <w:rPr>
          <w:rStyle w:val="RTiSWDocLiteralText"/>
        </w:rPr>
        <w:t>ChangeInterval(</w:t>
      </w:r>
      <w:r w:rsidRPr="00516722">
        <w:rPr>
          <w:rStyle w:val="RTiSWDocLiteralText"/>
        </w:rPr>
        <w:t>)</w:t>
      </w:r>
      <w:r>
        <w:t>command</w:t>
      </w:r>
      <w:r>
        <w:t>s to provide more direct functionality rather than existing command that does a lot but can be confusing.</w:t>
      </w:r>
      <w:bookmarkStart w:id="0" w:name="_GoBack"/>
      <w:bookmarkEnd w:id="0"/>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lastRenderedPageBreak/>
        <w:t>Change</w:t>
      </w:r>
      <w:r>
        <w:t xml:space="preserve"> [11.</w:t>
      </w:r>
      <w:r w:rsidR="00C729E4">
        <w:t>1</w:t>
      </w:r>
      <w:r>
        <w:t>0.0</w:t>
      </w:r>
      <w:r w:rsidR="00C729E4">
        <w:t>0</w:t>
      </w:r>
      <w:r>
        <w:t xml:space="preserve">]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representation of the actual time zone.  </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specifically two time series to be specified </w:t>
      </w:r>
      <w:r w:rsidR="00EB7E14">
        <w:t>for comparison</w:t>
      </w:r>
      <w:r>
        <w:t>.</w:t>
      </w:r>
    </w:p>
    <w:p w:rsidR="00161841" w:rsidRPr="00CC2674"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enable writing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 xml:space="preserve">.00]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CD7F43">
        <w:rPr>
          <w:rStyle w:val="RTiSWDocLiteralText"/>
        </w:rPr>
        <w:t>()</w:t>
      </w:r>
      <w:r w:rsidR="00C729E4">
        <w:t>,</w:t>
      </w:r>
      <w:r w:rsidR="00394184">
        <w:t xml:space="preserve"> </w:t>
      </w:r>
      <w:r w:rsidR="00394184">
        <w:rPr>
          <w:rStyle w:val="RTiSWDocLiteralText"/>
        </w:rPr>
        <w:t>SortTimeSeries</w:t>
      </w:r>
      <w:r w:rsidR="00394184">
        <w:rPr>
          <w:rStyle w:val="RTiSWDocLiteralText"/>
        </w:rPr>
        <w:t>()</w:t>
      </w:r>
      <w:r w:rsidR="00394184">
        <w:t>,</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w:t>
      </w:r>
      <w:r>
        <w:lastRenderedPageBreak/>
        <w:t>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lastRenderedPageBreak/>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lastRenderedPageBreak/>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lastRenderedPageBreak/>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lastRenderedPageBreak/>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lastRenderedPageBreak/>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lastRenderedPageBreak/>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lastRenderedPageBreak/>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lastRenderedPageBreak/>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C50708" w:rsidRDefault="00C50708" w:rsidP="00C50708"/>
    <w:p w:rsidR="00C50708" w:rsidRDefault="00C50708" w:rsidP="00C50708"/>
    <w:p w:rsidR="00C50708" w:rsidRDefault="00C50708">
      <w:r>
        <w:br w:type="page"/>
      </w:r>
    </w:p>
    <w:p w:rsidR="00C50708" w:rsidRDefault="00C50708" w:rsidP="00C50708"/>
    <w:p w:rsidR="00C50708" w:rsidRDefault="00C50708" w:rsidP="00C50708"/>
    <w:p w:rsidR="00C50708" w:rsidRPr="00C50708" w:rsidRDefault="00C50708" w:rsidP="00C50708">
      <w:pPr>
        <w:jc w:val="center"/>
        <w:rPr>
          <w:color w:val="D9D9D9" w:themeColor="background1" w:themeShade="D9"/>
        </w:rPr>
      </w:pPr>
      <w:r w:rsidRPr="00C50708">
        <w:rPr>
          <w:color w:val="D9D9D9" w:themeColor="background1" w:themeShade="D9"/>
        </w:rPr>
        <w:t>This page is intentionally blank.</w:t>
      </w:r>
    </w:p>
    <w:p w:rsidR="00C50708" w:rsidRDefault="00C50708" w:rsidP="00C50708"/>
    <w:p w:rsidR="00C50708" w:rsidRDefault="00C50708" w:rsidP="00C50708"/>
    <w:p w:rsidR="00EA591E" w:rsidRDefault="00EA591E" w:rsidP="00EA591E"/>
    <w:p w:rsidR="008D0728" w:rsidRDefault="008D0728" w:rsidP="00FB2A02"/>
    <w:p w:rsidR="0023346A" w:rsidRPr="00565D1E" w:rsidRDefault="0023346A" w:rsidP="00565D1E"/>
    <w:sectPr w:rsidR="0023346A"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4AB" w:rsidRDefault="00D374AB">
      <w:r>
        <w:separator/>
      </w:r>
    </w:p>
  </w:endnote>
  <w:endnote w:type="continuationSeparator" w:id="0">
    <w:p w:rsidR="00D374AB" w:rsidRDefault="00D37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4AB" w:rsidRDefault="00D374AB">
      <w:r>
        <w:separator/>
      </w:r>
    </w:p>
  </w:footnote>
  <w:footnote w:type="continuationSeparator" w:id="0">
    <w:p w:rsidR="00D374AB" w:rsidRDefault="00D374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B76"/>
    <w:rsid w:val="0009353E"/>
    <w:rsid w:val="000964D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6E6"/>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A2F"/>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6C94"/>
    <w:rsid w:val="0041011A"/>
    <w:rsid w:val="00413651"/>
    <w:rsid w:val="0041751F"/>
    <w:rsid w:val="004219E1"/>
    <w:rsid w:val="00423667"/>
    <w:rsid w:val="00425BA2"/>
    <w:rsid w:val="004263AD"/>
    <w:rsid w:val="00427E7A"/>
    <w:rsid w:val="004320E0"/>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0AFB"/>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65D1E"/>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3340"/>
    <w:rsid w:val="00653964"/>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3ED7"/>
    <w:rsid w:val="006C4519"/>
    <w:rsid w:val="006C6493"/>
    <w:rsid w:val="006C6C0E"/>
    <w:rsid w:val="006D3191"/>
    <w:rsid w:val="006D5FDE"/>
    <w:rsid w:val="006D75FE"/>
    <w:rsid w:val="006E0532"/>
    <w:rsid w:val="006E0F26"/>
    <w:rsid w:val="006E1F32"/>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379BC"/>
    <w:rsid w:val="00840F6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5493"/>
    <w:rsid w:val="00B0762B"/>
    <w:rsid w:val="00B13A59"/>
    <w:rsid w:val="00B14FED"/>
    <w:rsid w:val="00B15C26"/>
    <w:rsid w:val="00B20A79"/>
    <w:rsid w:val="00B226BB"/>
    <w:rsid w:val="00B236B1"/>
    <w:rsid w:val="00B24B2C"/>
    <w:rsid w:val="00B30038"/>
    <w:rsid w:val="00B319D0"/>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931"/>
    <w:rsid w:val="00BC57DD"/>
    <w:rsid w:val="00BC645D"/>
    <w:rsid w:val="00BD02DB"/>
    <w:rsid w:val="00BD096C"/>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374AB"/>
    <w:rsid w:val="00D4107C"/>
    <w:rsid w:val="00D427C7"/>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0DB3"/>
    <w:rsid w:val="00D93BA6"/>
    <w:rsid w:val="00D9435C"/>
    <w:rsid w:val="00D944CB"/>
    <w:rsid w:val="00D952B1"/>
    <w:rsid w:val="00D95DBF"/>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78C"/>
    <w:rsid w:val="00FD6C58"/>
    <w:rsid w:val="00FE1A54"/>
    <w:rsid w:val="00FE2B0A"/>
    <w:rsid w:val="00FE2E51"/>
    <w:rsid w:val="00FE31E8"/>
    <w:rsid w:val="00FE583F"/>
    <w:rsid w:val="00FE61A4"/>
    <w:rsid w:val="00FE7800"/>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64496</TotalTime>
  <Pages>32</Pages>
  <Words>13013</Words>
  <Characters>74179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87018</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108</cp:revision>
  <cp:lastPrinted>2016-02-16T09:44:00Z</cp:lastPrinted>
  <dcterms:created xsi:type="dcterms:W3CDTF">2013-11-16T23:11:00Z</dcterms:created>
  <dcterms:modified xsi:type="dcterms:W3CDTF">2016-03-31T07:50:00Z</dcterms:modified>
</cp:coreProperties>
</file>