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3F3F3"/>
  <w:body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Oswald" w:cs="Oswald" w:eastAsia="Oswald" w:hAnsi="Oswald"/>
          <w:b w:val="1"/>
          <w:color w:val="5bb7e7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color w:val="5bb7e7"/>
          <w:sz w:val="28"/>
          <w:szCs w:val="28"/>
          <w:rtl w:val="0"/>
        </w:rPr>
        <w:t xml:space="preserve">OPEN SOURCE COMPLIANCE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Oswald" w:cs="Oswald" w:eastAsia="Oswald" w:hAnsi="Oswald"/>
          <w:color w:val="e31c60"/>
          <w:sz w:val="44"/>
          <w:szCs w:val="44"/>
        </w:rPr>
      </w:pPr>
      <w:bookmarkStart w:colFirst="0" w:colLast="0" w:name="_lntg56ljm653" w:id="0"/>
      <w:bookmarkEnd w:id="0"/>
      <w:r w:rsidDel="00000000" w:rsidR="00000000" w:rsidRPr="00000000">
        <w:rPr>
          <w:color w:val="e31c60"/>
          <w:sz w:val="44"/>
          <w:szCs w:val="44"/>
          <w:rtl w:val="0"/>
        </w:rPr>
        <w:t xml:space="preserve">Recommended Practices For Compliance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1" name="image2.png" title="horizontal line"/>
            <a:graphic>
              <a:graphicData uri="http://schemas.openxmlformats.org/drawingml/2006/picture">
                <pic:pic>
                  <pic:nvPicPr>
                    <pic:cNvPr id="0" name="image2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Compliance is verified on a product-by-product basis: If an open source component is approved for use in one product, it does not necessarily mean it is pre-approved for use in other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Scan all source code, early and often. It allows you to discover compliance problems as they occur, provide solutions within acceptable delays, and perform incremental compliance very efficiently.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contextualSpacing w:val="1"/>
      </w:pPr>
      <w:r w:rsidDel="00000000" w:rsidR="00000000" w:rsidRPr="00000000">
        <w:rPr>
          <w:rtl w:val="0"/>
        </w:rPr>
        <w:t xml:space="preserve">Inspect and resolve each file or snippet flagged by the scanning tool.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contextualSpacing w:val="1"/>
      </w:pPr>
      <w:r w:rsidDel="00000000" w:rsidR="00000000" w:rsidRPr="00000000">
        <w:rPr>
          <w:rtl w:val="0"/>
        </w:rPr>
        <w:t xml:space="preserve">When in doubt with the scan results discuss with engineering.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contextualSpacing w:val="1"/>
      </w:pPr>
      <w:r w:rsidDel="00000000" w:rsidR="00000000" w:rsidRPr="00000000">
        <w:rPr>
          <w:rtl w:val="0"/>
        </w:rPr>
        <w:t xml:space="preserve">Identify all the components and snippets included in the product, their origin and licenses.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Scan newer used versions of previously approved packages.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If the scanning tool identifies GPL-licensed source code (for instance) integrated in a proprietary component, report to Engineering and request correction. Re-scan the code after Engineering has resolved the issue to get a solid confirmation that GPL code has been replaced.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contextualSpacing w:val="1"/>
      </w:pPr>
      <w:r w:rsidDel="00000000" w:rsidR="00000000" w:rsidRPr="00000000">
        <w:rPr>
          <w:rtl w:val="0"/>
        </w:rPr>
        <w:t xml:space="preserve">In preparation of legal review, provide Legal with all licensing information discovered in the component. For open source components, that includes COPYING, README, or LICENSE files.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If there are conflicts or compliance is not possible: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Remove / Replace: Can you live without this code? Is there an alternative project with same function under a different license?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Re-engineer: Can you create a work around?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Version tracking: Is there a newer (or older) version of this code under a different license?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Re-license:  Can you contact the author(s) and ask for a different license?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clear in the language of the written offer and the open source notices; be inclusive to all open source included in the product.</w:t>
      </w:r>
    </w:p>
    <w:sectPr>
      <w:headerReference r:id="rId6" w:type="default"/>
      <w:footerReference r:id="rId7" w:type="default"/>
      <w:pgSz w:h="15840" w:w="12240"/>
      <w:pgMar w:bottom="1440" w:top="108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Ibrahim Haddad, Ph.D.</w:t>
      <w:tab/>
      <w:tab/>
      <w:tab/>
      <w:tab/>
      <w:tab/>
      <w:tab/>
      <w:tab/>
    </w:r>
    <w:r w:rsidDel="00000000" w:rsidR="00000000" w:rsidRPr="00000000">
      <w:rPr>
        <w:b w:val="1"/>
        <w:color w:val="5bb7e7"/>
        <w:rtl w:val="0"/>
      </w:rPr>
      <w:t xml:space="preserve">Twitter: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  <w:t xml:space="preserve">@IbrahimAtLinux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300" w:lineRule="auto"/>
        <w:ind w:left="720" w:right="0" w:hanging="36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="240" w:lineRule="auto"/>
      <w:contextualSpacing w:val="1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320" w:line="360" w:lineRule="auto"/>
      <w:contextualSpacing w:val="1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120" w:lineRule="auto"/>
      <w:contextualSpacing w:val="1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