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Oswald" w:cs="Oswald" w:eastAsia="Oswald" w:hAnsi="Oswald"/>
          <w:b w:val="1"/>
          <w:color w:val="3d85c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color w:val="3d85c6"/>
          <w:sz w:val="28"/>
          <w:szCs w:val="28"/>
          <w:rtl w:val="0"/>
        </w:rPr>
        <w:t xml:space="preserve">OPEN SOURCE COMPLIANCE</w:t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Oswald" w:cs="Oswald" w:eastAsia="Oswald" w:hAnsi="Oswald"/>
          <w:color w:val="e31c60"/>
          <w:sz w:val="48"/>
          <w:szCs w:val="48"/>
        </w:rPr>
      </w:pPr>
      <w:bookmarkStart w:colFirst="0" w:colLast="0" w:name="_lntg56ljm653" w:id="0"/>
      <w:bookmarkEnd w:id="0"/>
      <w:r w:rsidDel="00000000" w:rsidR="00000000" w:rsidRPr="00000000">
        <w:rPr>
          <w:color w:val="e31c60"/>
          <w:sz w:val="48"/>
          <w:szCs w:val="48"/>
          <w:rtl w:val="0"/>
        </w:rPr>
        <w:t xml:space="preserve">Recommended Engineering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60" w:lineRule="auto"/>
        <w:contextualSpacing w:val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5943600" cy="50800"/>
            <wp:effectExtent b="0" l="0" r="0" t="0"/>
            <wp:docPr id="1" name="image2.png" title="horizontal line"/>
            <a:graphic>
              <a:graphicData uri="http://schemas.openxmlformats.org/drawingml/2006/picture">
                <pic:pic>
                  <pic:nvPicPr>
                    <pic:cNvPr id="0" name="image2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200" w:line="300" w:lineRule="auto"/>
        <w:contextualSpacing w:val="0"/>
        <w:rPr>
          <w:sz w:val="28"/>
          <w:szCs w:val="28"/>
        </w:rPr>
      </w:pPr>
      <w:bookmarkStart w:colFirst="0" w:colLast="0" w:name="_p4lcjigcrzea" w:id="1"/>
      <w:bookmarkEnd w:id="1"/>
      <w:r w:rsidDel="00000000" w:rsidR="00000000" w:rsidRPr="00000000">
        <w:rPr>
          <w:sz w:val="28"/>
          <w:szCs w:val="28"/>
          <w:rtl w:val="0"/>
        </w:rPr>
        <w:t xml:space="preserve">DO NOT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Remove or in any way disturb existing licensing or copyright information.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Rename open source modules or components.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Copy/paste open source code into proprietary or third party source code or vice versa without proper approval. Follow your company’s policy.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Commit open source or third party code source into an internal product source tree without prior approval. Follow your company’s policy.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Merge or mix source code incoming under different licenses without prior approval. These instances are reviewed on a case-by-case basis due to the implications with respect to license compatibility and the arguments that could be made with respect to what is considered a derivative work. Follow your company’s policy.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Discuss compliance practices with individuals outside of your company.</w:t>
      </w:r>
    </w:p>
    <w:p w:rsidR="00000000" w:rsidDel="00000000" w:rsidP="00000000" w:rsidRDefault="00000000" w:rsidRPr="00000000">
      <w:pPr>
        <w:pStyle w:val="Heading2"/>
        <w:pBdr/>
        <w:spacing w:before="200" w:line="300" w:lineRule="auto"/>
        <w:contextualSpacing w:val="0"/>
        <w:rPr>
          <w:color w:val="008a05"/>
          <w:sz w:val="28"/>
          <w:szCs w:val="28"/>
        </w:rPr>
      </w:pPr>
      <w:bookmarkStart w:colFirst="0" w:colLast="0" w:name="_f1w3h3cpslol" w:id="2"/>
      <w:bookmarkEnd w:id="2"/>
      <w:r w:rsidDel="00000000" w:rsidR="00000000" w:rsidRPr="00000000">
        <w:rPr>
          <w:color w:val="008a05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Request approval to use open source software before you commit the code into the product repo.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Request approval before you link proprietary code to an open source library or vice versa.  Follow your company’s policy.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Update the changelog for every file you modify to reflect the date of change, the author, and a short 1 line description of the change applied.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Document the interfaces between any code you are writing as it helps understand the interactions and clarify compliance concerns.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Save the web page documenting the license of the source code package you downloaded, and save a mint copy of the package in a backup location.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Verify that the license of the open source software you are about to upgrade is the same as the current version you are using . License changes can occur between versions.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00" w:lineRule="auto"/>
        <w:ind w:left="720" w:hanging="360"/>
        <w:contextualSpacing w:val="1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Verify that the license in the source code package matches that described on the project web site. In the event of discrepancy, contact the project for clarification.   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Ibrahim Haddad, Ph.D.</w:t>
      <w:tab/>
      <w:tab/>
      <w:tab/>
      <w:tab/>
      <w:tab/>
      <w:tab/>
    </w:r>
    <w:r w:rsidDel="00000000" w:rsidR="00000000" w:rsidRPr="00000000">
      <w:rPr>
        <w:b w:val="1"/>
        <w:color w:val="3c78d8"/>
        <w:rtl w:val="0"/>
      </w:rPr>
      <w:t xml:space="preserve">Twitter: </w:t>
    </w:r>
    <w:r w:rsidDel="00000000" w:rsidR="00000000" w:rsidRPr="00000000">
      <w:rPr>
        <w:rtl w:val="0"/>
      </w:rPr>
      <w:t xml:space="preserve">@IbrahimAtLinux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line="240" w:lineRule="auto"/>
      <w:contextualSpacing w:val="1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320" w:line="360" w:lineRule="auto"/>
      <w:contextualSpacing w:val="1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0" w:line="240" w:lineRule="auto"/>
      <w:contextualSpacing w:val="1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120" w:lineRule="auto"/>
      <w:contextualSpacing w:val="1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