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rPr>
      </w:pPr>
      <w:r>
        <w:rPr>
          <w:rFonts w:ascii="Calibri" w:hAnsi="Calibri"/>
          <w:b/>
          <w:smallCaps/>
          <w:color w:val="1F497D" w:themeColor="text2"/>
          <w:sz w:val="48"/>
        </w:rPr>
        <w:tab/>
      </w:r>
      <w:r>
        <w:rPr>
          <w:rFonts w:ascii="Calibri" w:hAnsi="Calibri"/>
          <w:b/>
          <w:smallCaps/>
          <w:color w:val="1F497D" w:themeColor="text2"/>
          <w:sz w:val="48"/>
        </w:rPr>
        <w:tab/>
      </w:r>
      <w:r w:rsidR="00750648" w:rsidRPr="00D27659">
        <w:rPr>
          <w:rFonts w:ascii="Calibri" w:hAnsi="Calibri"/>
          <w:b/>
          <w:smallCaps/>
          <w:color w:val="1F497D" w:themeColor="text2"/>
          <w:sz w:val="48"/>
        </w:rPr>
        <w:t>OpenChain</w:t>
      </w:r>
      <w:r>
        <w:rPr>
          <w:rFonts w:ascii="Calibri" w:hAnsi="Calibri"/>
          <w:b/>
          <w:smallCaps/>
          <w:color w:val="1F497D" w:themeColor="text2"/>
          <w:sz w:val="48"/>
        </w:rPr>
        <w:t xml:space="preserve"> </w:t>
      </w:r>
      <w:r w:rsidR="00E47077" w:rsidRPr="006B3979">
        <w:rPr>
          <w:rFonts w:ascii="Calibri" w:hAnsi="Calibri"/>
          <w:b/>
          <w:color w:val="1F497D" w:themeColor="text2"/>
          <w:sz w:val="48"/>
        </w:rPr>
        <w:t>Specification</w:t>
      </w:r>
      <w:r w:rsidR="008A4AA3" w:rsidRPr="006B3979">
        <w:rPr>
          <w:rFonts w:ascii="Calibri" w:hAnsi="Calibri"/>
          <w:b/>
          <w:color w:val="1F497D" w:themeColor="text2"/>
          <w:sz w:val="48"/>
        </w:rPr>
        <w:t xml:space="preserve"> </w:t>
      </w:r>
    </w:p>
    <w:p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rPr>
      </w:pPr>
      <w:r w:rsidRPr="006B3979">
        <w:rPr>
          <w:rFonts w:ascii="Calibri" w:hAnsi="Calibri"/>
          <w:color w:val="1F497D" w:themeColor="text2"/>
          <w:sz w:val="32"/>
          <w:szCs w:val="36"/>
        </w:rPr>
        <w:t>Version</w:t>
      </w:r>
      <w:r>
        <w:rPr>
          <w:rFonts w:ascii="Calibri" w:hAnsi="Calibri"/>
          <w:color w:val="1F497D" w:themeColor="text2"/>
          <w:sz w:val="32"/>
          <w:szCs w:val="36"/>
        </w:rPr>
        <w:t xml:space="preserve"> </w:t>
      </w:r>
      <w:r w:rsidR="00F66FD9">
        <w:rPr>
          <w:rFonts w:ascii="Calibri" w:hAnsi="Calibri"/>
          <w:color w:val="1F497D" w:themeColor="text2"/>
          <w:sz w:val="32"/>
          <w:szCs w:val="36"/>
        </w:rPr>
        <w:t>2.0</w:t>
      </w:r>
    </w:p>
    <w:p w:rsidR="00E47077" w:rsidRDefault="00E47077" w:rsidP="00127AD7">
      <w:pPr>
        <w:pBdr>
          <w:top w:val="single" w:sz="6" w:space="1" w:color="auto"/>
          <w:bottom w:val="single" w:sz="6" w:space="1" w:color="auto"/>
        </w:pBdr>
        <w:jc w:val="center"/>
        <w:rPr>
          <w:rFonts w:ascii="Candara" w:hAnsi="Candara"/>
          <w:b/>
          <w:color w:val="1F497D" w:themeColor="text2"/>
          <w:sz w:val="32"/>
        </w:rPr>
      </w:pPr>
    </w:p>
    <w:p w:rsidR="00886BE3" w:rsidRDefault="00886BE3" w:rsidP="00983D32">
      <w:pPr>
        <w:pBdr>
          <w:top w:val="single" w:sz="6" w:space="1" w:color="auto"/>
          <w:bottom w:val="single" w:sz="6" w:space="1" w:color="auto"/>
        </w:pBdr>
        <w:jc w:val="right"/>
        <w:rPr>
          <w:i/>
          <w:color w:val="1F497D" w:themeColor="text2"/>
          <w:sz w:val="32"/>
          <w:highlight w:val="cyan"/>
        </w:rPr>
      </w:pPr>
    </w:p>
    <w:p w:rsidR="002B23C9" w:rsidRPr="002B23C9" w:rsidRDefault="00AC770E" w:rsidP="002B23C9">
      <w:pPr>
        <w:pBdr>
          <w:top w:val="single" w:sz="6" w:space="1" w:color="auto"/>
          <w:bottom w:val="single" w:sz="6" w:space="1" w:color="auto"/>
        </w:pBdr>
        <w:jc w:val="right"/>
        <w:rPr>
          <w:i/>
          <w:color w:val="1F497D" w:themeColor="text2"/>
          <w:sz w:val="28"/>
        </w:rPr>
      </w:pPr>
      <w:r w:rsidRPr="00CB7FD4">
        <w:rPr>
          <w:i/>
          <w:sz w:val="28"/>
        </w:rPr>
        <w:t>Establishing</w:t>
      </w:r>
      <w:r w:rsidR="00880115" w:rsidRPr="00CB7FD4">
        <w:rPr>
          <w:i/>
          <w:sz w:val="28"/>
        </w:rPr>
        <w:t xml:space="preserve"> trust in </w:t>
      </w:r>
      <w:r w:rsidR="00F01566" w:rsidRPr="00CB7FD4">
        <w:rPr>
          <w:i/>
          <w:sz w:val="28"/>
        </w:rPr>
        <w:t xml:space="preserve">the </w:t>
      </w:r>
      <w:r w:rsidR="002B23C9" w:rsidRPr="00CB7FD4">
        <w:rPr>
          <w:i/>
          <w:sz w:val="28"/>
        </w:rPr>
        <w:t>Open Source from which Software Solutions are built</w:t>
      </w:r>
    </w:p>
    <w:p w:rsidR="00977723" w:rsidRDefault="00977723" w:rsidP="00127AD7">
      <w:pPr>
        <w:pBdr>
          <w:top w:val="single" w:sz="6" w:space="1" w:color="auto"/>
          <w:bottom w:val="single" w:sz="6" w:space="1" w:color="auto"/>
        </w:pBdr>
        <w:jc w:val="center"/>
        <w:rPr>
          <w:rFonts w:ascii="Candara" w:hAnsi="Candara"/>
          <w:b/>
          <w:color w:val="1F497D" w:themeColor="text2"/>
          <w:sz w:val="32"/>
        </w:rPr>
      </w:pPr>
    </w:p>
    <w:p w:rsidR="00977723" w:rsidRPr="00661E9D" w:rsidRDefault="00977723" w:rsidP="00127AD7">
      <w:pPr>
        <w:pBdr>
          <w:top w:val="single" w:sz="6" w:space="1" w:color="auto"/>
          <w:bottom w:val="single" w:sz="6" w:space="1" w:color="auto"/>
        </w:pBdr>
        <w:jc w:val="center"/>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0E6567" w:rsidRPr="00435701" w:rsidRDefault="000E6567" w:rsidP="000E6567">
      <w:pPr>
        <w:pBdr>
          <w:top w:val="single" w:sz="6" w:space="1" w:color="auto"/>
          <w:bottom w:val="single" w:sz="6" w:space="1" w:color="auto"/>
        </w:pBdr>
        <w:jc w:val="center"/>
        <w:rPr>
          <w:i/>
          <w:color w:val="C00000"/>
          <w:sz w:val="24"/>
          <w:szCs w:val="24"/>
        </w:rPr>
      </w:pPr>
      <w:r w:rsidRPr="00435701">
        <w:rPr>
          <w:rStyle w:val="Hyperlink"/>
          <w:i/>
          <w:color w:val="C00000"/>
          <w:sz w:val="24"/>
          <w:szCs w:val="24"/>
          <w:u w:val="none"/>
        </w:rPr>
        <w:t>[This paragraph should be removed from the translated version]</w:t>
      </w:r>
    </w:p>
    <w:p w:rsidR="000E6567" w:rsidRPr="00435701" w:rsidRDefault="000E6567" w:rsidP="000E6567">
      <w:pPr>
        <w:pBdr>
          <w:top w:val="single" w:sz="6" w:space="1" w:color="auto"/>
          <w:bottom w:val="single" w:sz="6" w:space="1" w:color="auto"/>
        </w:pBdr>
        <w:jc w:val="left"/>
        <w:rPr>
          <w:i/>
          <w:color w:val="C00000"/>
          <w:sz w:val="24"/>
          <w:szCs w:val="24"/>
        </w:rPr>
      </w:pPr>
      <w:r w:rsidRPr="00435701">
        <w:rPr>
          <w:i/>
          <w:color w:val="C00000"/>
          <w:sz w:val="24"/>
          <w:szCs w:val="24"/>
        </w:rPr>
        <w:t>This file serves as a template to facilitate the translation of the OpenChain specification from English to other languages. The OpenChain project designates one offic</w:t>
      </w:r>
      <w:r w:rsidR="00435701" w:rsidRPr="00435701">
        <w:rPr>
          <w:i/>
          <w:color w:val="C00000"/>
          <w:sz w:val="24"/>
          <w:szCs w:val="24"/>
        </w:rPr>
        <w:t>ial translation per language le</w:t>
      </w:r>
      <w:r w:rsidRPr="00435701">
        <w:rPr>
          <w:i/>
          <w:color w:val="C00000"/>
          <w:sz w:val="24"/>
          <w:szCs w:val="24"/>
        </w:rPr>
        <w:t xml:space="preserve">d by an approved maintainer. Only official translations are allowed to use the OpenChain logo and trademark as they appear in this template. For more details about the translation policy and process please visit: </w:t>
      </w:r>
    </w:p>
    <w:p w:rsidR="000E6567" w:rsidRDefault="000E6567" w:rsidP="000E6567">
      <w:pPr>
        <w:pBdr>
          <w:top w:val="single" w:sz="6" w:space="1" w:color="auto"/>
          <w:bottom w:val="single" w:sz="6" w:space="1" w:color="auto"/>
        </w:pBdr>
        <w:rPr>
          <w:rStyle w:val="Hyperlink"/>
          <w:i/>
          <w:sz w:val="24"/>
          <w:szCs w:val="24"/>
        </w:rPr>
      </w:pPr>
      <w:r w:rsidRPr="00435701">
        <w:rPr>
          <w:i/>
          <w:color w:val="C00000"/>
          <w:sz w:val="24"/>
          <w:szCs w:val="24"/>
        </w:rPr>
        <w:tab/>
      </w:r>
      <w:hyperlink r:id="rId9" w:history="1">
        <w:r w:rsidRPr="00435701">
          <w:rPr>
            <w:rStyle w:val="Hyperlink"/>
            <w:i/>
            <w:color w:val="C00000"/>
            <w:sz w:val="24"/>
            <w:szCs w:val="24"/>
          </w:rPr>
          <w:t>https://wiki.linuxfoundation.org/openchain/spe</w:t>
        </w:r>
        <w:r w:rsidRPr="00435701">
          <w:rPr>
            <w:rStyle w:val="Hyperlink"/>
            <w:i/>
            <w:color w:val="C00000"/>
            <w:sz w:val="24"/>
            <w:szCs w:val="24"/>
          </w:rPr>
          <w:t>c</w:t>
        </w:r>
        <w:r w:rsidRPr="00435701">
          <w:rPr>
            <w:rStyle w:val="Hyperlink"/>
            <w:i/>
            <w:color w:val="C00000"/>
            <w:sz w:val="24"/>
            <w:szCs w:val="24"/>
          </w:rPr>
          <w:t>-translations</w:t>
        </w:r>
      </w:hyperlink>
    </w:p>
    <w:p w:rsidR="000E6567" w:rsidRPr="000E6567" w:rsidRDefault="000E6567" w:rsidP="000E6567">
      <w:pPr>
        <w:pBdr>
          <w:top w:val="single" w:sz="6" w:space="1" w:color="auto"/>
          <w:bottom w:val="single" w:sz="6" w:space="1" w:color="auto"/>
        </w:pBdr>
        <w:jc w:val="center"/>
        <w:rPr>
          <w:b/>
          <w:color w:val="1F497D" w:themeColor="text2"/>
          <w:sz w:val="28"/>
          <w:szCs w:val="28"/>
        </w:rPr>
      </w:pPr>
    </w:p>
    <w:p w:rsidR="00127AD7" w:rsidRDefault="00127AD7" w:rsidP="00E47077">
      <w:pPr>
        <w:pBdr>
          <w:top w:val="single" w:sz="6" w:space="1" w:color="auto"/>
          <w:bottom w:val="single" w:sz="6" w:space="1" w:color="auto"/>
        </w:pBdr>
        <w:jc w:val="right"/>
        <w:rPr>
          <w:b/>
          <w:sz w:val="28"/>
        </w:rPr>
      </w:pPr>
    </w:p>
    <w:p w:rsidR="000E6567" w:rsidRDefault="000E656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122614" w:rsidRDefault="00122614" w:rsidP="00E47077">
      <w:pPr>
        <w:pBdr>
          <w:top w:val="single" w:sz="6" w:space="1" w:color="auto"/>
          <w:bottom w:val="single" w:sz="6" w:space="1" w:color="auto"/>
        </w:pBdr>
        <w:jc w:val="right"/>
        <w:rPr>
          <w:rFonts w:ascii="Candara" w:hAnsi="Candara"/>
          <w:b/>
          <w:color w:val="1F497D" w:themeColor="text2"/>
          <w:sz w:val="32"/>
        </w:rPr>
      </w:pPr>
    </w:p>
    <w:p w:rsidR="00122614" w:rsidRDefault="00122614" w:rsidP="00E47077">
      <w:pPr>
        <w:pBdr>
          <w:top w:val="single" w:sz="6" w:space="1" w:color="auto"/>
          <w:bottom w:val="single" w:sz="6" w:space="1" w:color="auto"/>
        </w:pBdr>
        <w:jc w:val="right"/>
        <w:rPr>
          <w:rFonts w:ascii="Candara" w:hAnsi="Candara"/>
          <w:b/>
          <w:color w:val="1F497D" w:themeColor="text2"/>
          <w:sz w:val="32"/>
        </w:rPr>
      </w:pPr>
    </w:p>
    <w:p w:rsidR="00122614" w:rsidRPr="00661E9D" w:rsidRDefault="00122614"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CA291F" w:rsidRDefault="00CA291F" w:rsidP="0010225E">
      <w:pPr>
        <w:jc w:val="center"/>
        <w:rPr>
          <w:b/>
          <w:color w:val="1F497D" w:themeColor="text2"/>
          <w:sz w:val="36"/>
        </w:rPr>
      </w:pPr>
    </w:p>
    <w:p w:rsidR="009E7C0B" w:rsidRDefault="009E7C0B" w:rsidP="0010225E">
      <w:pPr>
        <w:jc w:val="center"/>
        <w:rPr>
          <w:b/>
          <w:color w:val="1F497D" w:themeColor="text2"/>
          <w:sz w:val="36"/>
        </w:rPr>
      </w:pPr>
    </w:p>
    <w:p w:rsidR="009E7C0B" w:rsidRDefault="009E7C0B" w:rsidP="0010225E">
      <w:pPr>
        <w:jc w:val="center"/>
        <w:rPr>
          <w:b/>
          <w:color w:val="1F497D" w:themeColor="text2"/>
          <w:sz w:val="36"/>
        </w:rPr>
      </w:pPr>
    </w:p>
    <w:p w:rsidR="0010225E" w:rsidRPr="0010225E" w:rsidRDefault="0010225E" w:rsidP="0010225E">
      <w:pPr>
        <w:jc w:val="center"/>
        <w:rPr>
          <w:b/>
          <w:color w:val="1F497D" w:themeColor="text2"/>
          <w:sz w:val="36"/>
        </w:rPr>
      </w:pPr>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435701" w:rsidRDefault="0010225E">
          <w:pPr>
            <w:pStyle w:val="TOC1"/>
            <w:rPr>
              <w:rFonts w:eastAsiaTheme="minorEastAsia"/>
              <w:b w:val="0"/>
              <w:noProof/>
              <w:sz w:val="22"/>
            </w:rPr>
          </w:pPr>
          <w:r>
            <w:fldChar w:fldCharType="begin"/>
          </w:r>
          <w:r>
            <w:instrText xml:space="preserve"> TOC \o "1-3" \h \z \u </w:instrText>
          </w:r>
          <w:r>
            <w:fldChar w:fldCharType="separate"/>
          </w:r>
          <w:hyperlink w:anchor="_Toc5054407" w:history="1">
            <w:r w:rsidR="00435701" w:rsidRPr="00510B0E">
              <w:rPr>
                <w:rStyle w:val="Hyperlink"/>
                <w:noProof/>
              </w:rPr>
              <w:t>1)</w:t>
            </w:r>
            <w:r w:rsidR="00435701">
              <w:rPr>
                <w:rFonts w:eastAsiaTheme="minorEastAsia"/>
                <w:b w:val="0"/>
                <w:noProof/>
                <w:sz w:val="22"/>
              </w:rPr>
              <w:tab/>
            </w:r>
            <w:r w:rsidR="00435701" w:rsidRPr="00510B0E">
              <w:rPr>
                <w:rStyle w:val="Hyperlink"/>
                <w:noProof/>
              </w:rPr>
              <w:t>Introduction</w:t>
            </w:r>
            <w:r w:rsidR="00435701">
              <w:rPr>
                <w:noProof/>
                <w:webHidden/>
              </w:rPr>
              <w:tab/>
            </w:r>
            <w:r w:rsidR="00435701">
              <w:rPr>
                <w:noProof/>
                <w:webHidden/>
              </w:rPr>
              <w:fldChar w:fldCharType="begin"/>
            </w:r>
            <w:r w:rsidR="00435701">
              <w:rPr>
                <w:noProof/>
                <w:webHidden/>
              </w:rPr>
              <w:instrText xml:space="preserve"> PAGEREF _Toc5054407 \h </w:instrText>
            </w:r>
            <w:r w:rsidR="00435701">
              <w:rPr>
                <w:noProof/>
                <w:webHidden/>
              </w:rPr>
            </w:r>
            <w:r w:rsidR="00435701">
              <w:rPr>
                <w:noProof/>
                <w:webHidden/>
              </w:rPr>
              <w:fldChar w:fldCharType="separate"/>
            </w:r>
            <w:r w:rsidR="00435701">
              <w:rPr>
                <w:noProof/>
                <w:webHidden/>
              </w:rPr>
              <w:t>3</w:t>
            </w:r>
            <w:r w:rsidR="00435701">
              <w:rPr>
                <w:noProof/>
                <w:webHidden/>
              </w:rPr>
              <w:fldChar w:fldCharType="end"/>
            </w:r>
          </w:hyperlink>
        </w:p>
        <w:p w:rsidR="00435701" w:rsidRDefault="00435701">
          <w:pPr>
            <w:pStyle w:val="TOC1"/>
            <w:rPr>
              <w:rFonts w:eastAsiaTheme="minorEastAsia"/>
              <w:b w:val="0"/>
              <w:noProof/>
              <w:sz w:val="22"/>
            </w:rPr>
          </w:pPr>
          <w:hyperlink w:anchor="_Toc5054408" w:history="1">
            <w:r w:rsidRPr="00510B0E">
              <w:rPr>
                <w:rStyle w:val="Hyperlink"/>
                <w:noProof/>
              </w:rPr>
              <w:t>2)</w:t>
            </w:r>
            <w:r>
              <w:rPr>
                <w:rFonts w:eastAsiaTheme="minorEastAsia"/>
                <w:b w:val="0"/>
                <w:noProof/>
                <w:sz w:val="22"/>
              </w:rPr>
              <w:tab/>
            </w:r>
            <w:r w:rsidRPr="00510B0E">
              <w:rPr>
                <w:rStyle w:val="Hyperlink"/>
                <w:noProof/>
              </w:rPr>
              <w:t>Definitions</w:t>
            </w:r>
            <w:r>
              <w:rPr>
                <w:noProof/>
                <w:webHidden/>
              </w:rPr>
              <w:tab/>
            </w:r>
            <w:r>
              <w:rPr>
                <w:noProof/>
                <w:webHidden/>
              </w:rPr>
              <w:fldChar w:fldCharType="begin"/>
            </w:r>
            <w:r>
              <w:rPr>
                <w:noProof/>
                <w:webHidden/>
              </w:rPr>
              <w:instrText xml:space="preserve"> PAGEREF _Toc5054408 \h </w:instrText>
            </w:r>
            <w:r>
              <w:rPr>
                <w:noProof/>
                <w:webHidden/>
              </w:rPr>
            </w:r>
            <w:r>
              <w:rPr>
                <w:noProof/>
                <w:webHidden/>
              </w:rPr>
              <w:fldChar w:fldCharType="separate"/>
            </w:r>
            <w:r>
              <w:rPr>
                <w:noProof/>
                <w:webHidden/>
              </w:rPr>
              <w:t>4</w:t>
            </w:r>
            <w:r>
              <w:rPr>
                <w:noProof/>
                <w:webHidden/>
              </w:rPr>
              <w:fldChar w:fldCharType="end"/>
            </w:r>
          </w:hyperlink>
        </w:p>
        <w:p w:rsidR="00435701" w:rsidRDefault="00435701">
          <w:pPr>
            <w:pStyle w:val="TOC1"/>
            <w:rPr>
              <w:rFonts w:eastAsiaTheme="minorEastAsia"/>
              <w:b w:val="0"/>
              <w:noProof/>
              <w:sz w:val="22"/>
            </w:rPr>
          </w:pPr>
          <w:hyperlink w:anchor="_Toc5054409" w:history="1">
            <w:r w:rsidRPr="00510B0E">
              <w:rPr>
                <w:rStyle w:val="Hyperlink"/>
                <w:noProof/>
              </w:rPr>
              <w:t>3)</w:t>
            </w:r>
            <w:r>
              <w:rPr>
                <w:rFonts w:eastAsiaTheme="minorEastAsia"/>
                <w:b w:val="0"/>
                <w:noProof/>
                <w:sz w:val="22"/>
              </w:rPr>
              <w:tab/>
            </w:r>
            <w:r w:rsidRPr="00510B0E">
              <w:rPr>
                <w:rStyle w:val="Hyperlink"/>
                <w:noProof/>
              </w:rPr>
              <w:t>Requirements</w:t>
            </w:r>
            <w:r>
              <w:rPr>
                <w:noProof/>
                <w:webHidden/>
              </w:rPr>
              <w:tab/>
            </w:r>
            <w:r>
              <w:rPr>
                <w:noProof/>
                <w:webHidden/>
              </w:rPr>
              <w:fldChar w:fldCharType="begin"/>
            </w:r>
            <w:r>
              <w:rPr>
                <w:noProof/>
                <w:webHidden/>
              </w:rPr>
              <w:instrText xml:space="preserve"> PAGEREF _Toc5054409 \h </w:instrText>
            </w:r>
            <w:r>
              <w:rPr>
                <w:noProof/>
                <w:webHidden/>
              </w:rPr>
            </w:r>
            <w:r>
              <w:rPr>
                <w:noProof/>
                <w:webHidden/>
              </w:rPr>
              <w:fldChar w:fldCharType="separate"/>
            </w:r>
            <w:r>
              <w:rPr>
                <w:noProof/>
                <w:webHidden/>
              </w:rPr>
              <w:t>5</w:t>
            </w:r>
            <w:r>
              <w:rPr>
                <w:noProof/>
                <w:webHidden/>
              </w:rPr>
              <w:fldChar w:fldCharType="end"/>
            </w:r>
          </w:hyperlink>
        </w:p>
        <w:p w:rsidR="00435701" w:rsidRDefault="00435701">
          <w:pPr>
            <w:pStyle w:val="TOC2"/>
            <w:tabs>
              <w:tab w:val="right" w:leader="dot" w:pos="9350"/>
            </w:tabs>
            <w:rPr>
              <w:rFonts w:eastAsiaTheme="minorEastAsia"/>
              <w:noProof/>
            </w:rPr>
          </w:pPr>
          <w:hyperlink w:anchor="_Toc5054410" w:history="1">
            <w:r w:rsidRPr="00510B0E">
              <w:rPr>
                <w:rStyle w:val="Hyperlink"/>
                <w:noProof/>
              </w:rPr>
              <w:t>1.0 Program Foundation</w:t>
            </w:r>
            <w:r>
              <w:rPr>
                <w:noProof/>
                <w:webHidden/>
              </w:rPr>
              <w:tab/>
            </w:r>
            <w:r>
              <w:rPr>
                <w:noProof/>
                <w:webHidden/>
              </w:rPr>
              <w:fldChar w:fldCharType="begin"/>
            </w:r>
            <w:r>
              <w:rPr>
                <w:noProof/>
                <w:webHidden/>
              </w:rPr>
              <w:instrText xml:space="preserve"> PAGEREF _Toc5054410 \h </w:instrText>
            </w:r>
            <w:r>
              <w:rPr>
                <w:noProof/>
                <w:webHidden/>
              </w:rPr>
            </w:r>
            <w:r>
              <w:rPr>
                <w:noProof/>
                <w:webHidden/>
              </w:rPr>
              <w:fldChar w:fldCharType="separate"/>
            </w:r>
            <w:r>
              <w:rPr>
                <w:noProof/>
                <w:webHidden/>
              </w:rPr>
              <w:t>5</w:t>
            </w:r>
            <w:r>
              <w:rPr>
                <w:noProof/>
                <w:webHidden/>
              </w:rPr>
              <w:fldChar w:fldCharType="end"/>
            </w:r>
          </w:hyperlink>
        </w:p>
        <w:p w:rsidR="00435701" w:rsidRDefault="00435701">
          <w:pPr>
            <w:pStyle w:val="TOC2"/>
            <w:tabs>
              <w:tab w:val="right" w:leader="dot" w:pos="9350"/>
            </w:tabs>
            <w:rPr>
              <w:rFonts w:eastAsiaTheme="minorEastAsia"/>
              <w:noProof/>
            </w:rPr>
          </w:pPr>
          <w:hyperlink w:anchor="_Toc5054411" w:history="1">
            <w:r w:rsidRPr="00510B0E">
              <w:rPr>
                <w:rStyle w:val="Hyperlink"/>
                <w:noProof/>
              </w:rPr>
              <w:t>2.0 Relevant Tasks Defined and Supported</w:t>
            </w:r>
            <w:r>
              <w:rPr>
                <w:noProof/>
                <w:webHidden/>
              </w:rPr>
              <w:tab/>
            </w:r>
            <w:r>
              <w:rPr>
                <w:noProof/>
                <w:webHidden/>
              </w:rPr>
              <w:fldChar w:fldCharType="begin"/>
            </w:r>
            <w:r>
              <w:rPr>
                <w:noProof/>
                <w:webHidden/>
              </w:rPr>
              <w:instrText xml:space="preserve"> PAGEREF _Toc5054411 \h </w:instrText>
            </w:r>
            <w:r>
              <w:rPr>
                <w:noProof/>
                <w:webHidden/>
              </w:rPr>
            </w:r>
            <w:r>
              <w:rPr>
                <w:noProof/>
                <w:webHidden/>
              </w:rPr>
              <w:fldChar w:fldCharType="separate"/>
            </w:r>
            <w:r>
              <w:rPr>
                <w:noProof/>
                <w:webHidden/>
              </w:rPr>
              <w:t>7</w:t>
            </w:r>
            <w:r>
              <w:rPr>
                <w:noProof/>
                <w:webHidden/>
              </w:rPr>
              <w:fldChar w:fldCharType="end"/>
            </w:r>
          </w:hyperlink>
        </w:p>
        <w:p w:rsidR="00435701" w:rsidRDefault="00435701">
          <w:pPr>
            <w:pStyle w:val="TOC2"/>
            <w:tabs>
              <w:tab w:val="right" w:leader="dot" w:pos="9350"/>
            </w:tabs>
            <w:rPr>
              <w:rFonts w:eastAsiaTheme="minorEastAsia"/>
              <w:noProof/>
            </w:rPr>
          </w:pPr>
          <w:hyperlink w:anchor="_Toc5054412" w:history="1">
            <w:r w:rsidRPr="00510B0E">
              <w:rPr>
                <w:rStyle w:val="Hyperlink"/>
                <w:noProof/>
              </w:rPr>
              <w:t>3.0 Open Source Content Review and Approval</w:t>
            </w:r>
            <w:r>
              <w:rPr>
                <w:noProof/>
                <w:webHidden/>
              </w:rPr>
              <w:tab/>
            </w:r>
            <w:r>
              <w:rPr>
                <w:noProof/>
                <w:webHidden/>
              </w:rPr>
              <w:fldChar w:fldCharType="begin"/>
            </w:r>
            <w:r>
              <w:rPr>
                <w:noProof/>
                <w:webHidden/>
              </w:rPr>
              <w:instrText xml:space="preserve"> PAGEREF _Toc5054412 \h </w:instrText>
            </w:r>
            <w:r>
              <w:rPr>
                <w:noProof/>
                <w:webHidden/>
              </w:rPr>
            </w:r>
            <w:r>
              <w:rPr>
                <w:noProof/>
                <w:webHidden/>
              </w:rPr>
              <w:fldChar w:fldCharType="separate"/>
            </w:r>
            <w:r>
              <w:rPr>
                <w:noProof/>
                <w:webHidden/>
              </w:rPr>
              <w:t>8</w:t>
            </w:r>
            <w:r>
              <w:rPr>
                <w:noProof/>
                <w:webHidden/>
              </w:rPr>
              <w:fldChar w:fldCharType="end"/>
            </w:r>
          </w:hyperlink>
        </w:p>
        <w:p w:rsidR="00435701" w:rsidRDefault="00435701">
          <w:pPr>
            <w:pStyle w:val="TOC2"/>
            <w:tabs>
              <w:tab w:val="right" w:leader="dot" w:pos="9350"/>
            </w:tabs>
            <w:rPr>
              <w:rFonts w:eastAsiaTheme="minorEastAsia"/>
              <w:noProof/>
            </w:rPr>
          </w:pPr>
          <w:hyperlink w:anchor="_Toc5054413" w:history="1">
            <w:r w:rsidRPr="00510B0E">
              <w:rPr>
                <w:rStyle w:val="Hyperlink"/>
                <w:noProof/>
              </w:rPr>
              <w:t>4.0 Compliance Artifact Creation and Delivery</w:t>
            </w:r>
            <w:r>
              <w:rPr>
                <w:noProof/>
                <w:webHidden/>
              </w:rPr>
              <w:tab/>
            </w:r>
            <w:r>
              <w:rPr>
                <w:noProof/>
                <w:webHidden/>
              </w:rPr>
              <w:fldChar w:fldCharType="begin"/>
            </w:r>
            <w:r>
              <w:rPr>
                <w:noProof/>
                <w:webHidden/>
              </w:rPr>
              <w:instrText xml:space="preserve"> PAGEREF _Toc5054413 \h </w:instrText>
            </w:r>
            <w:r>
              <w:rPr>
                <w:noProof/>
                <w:webHidden/>
              </w:rPr>
            </w:r>
            <w:r>
              <w:rPr>
                <w:noProof/>
                <w:webHidden/>
              </w:rPr>
              <w:fldChar w:fldCharType="separate"/>
            </w:r>
            <w:r>
              <w:rPr>
                <w:noProof/>
                <w:webHidden/>
              </w:rPr>
              <w:t>9</w:t>
            </w:r>
            <w:r>
              <w:rPr>
                <w:noProof/>
                <w:webHidden/>
              </w:rPr>
              <w:fldChar w:fldCharType="end"/>
            </w:r>
          </w:hyperlink>
        </w:p>
        <w:p w:rsidR="00435701" w:rsidRDefault="00435701">
          <w:pPr>
            <w:pStyle w:val="TOC2"/>
            <w:tabs>
              <w:tab w:val="right" w:leader="dot" w:pos="9350"/>
            </w:tabs>
            <w:rPr>
              <w:rFonts w:eastAsiaTheme="minorEastAsia"/>
              <w:noProof/>
            </w:rPr>
          </w:pPr>
          <w:hyperlink w:anchor="_Toc5054414" w:history="1">
            <w:r w:rsidRPr="00510B0E">
              <w:rPr>
                <w:rStyle w:val="Hyperlink"/>
                <w:noProof/>
              </w:rPr>
              <w:t>5.0 Understanding Open Source Community Engagements</w:t>
            </w:r>
            <w:r>
              <w:rPr>
                <w:noProof/>
                <w:webHidden/>
              </w:rPr>
              <w:tab/>
            </w:r>
            <w:r>
              <w:rPr>
                <w:noProof/>
                <w:webHidden/>
              </w:rPr>
              <w:fldChar w:fldCharType="begin"/>
            </w:r>
            <w:r>
              <w:rPr>
                <w:noProof/>
                <w:webHidden/>
              </w:rPr>
              <w:instrText xml:space="preserve"> PAGEREF _Toc5054414 \h </w:instrText>
            </w:r>
            <w:r>
              <w:rPr>
                <w:noProof/>
                <w:webHidden/>
              </w:rPr>
            </w:r>
            <w:r>
              <w:rPr>
                <w:noProof/>
                <w:webHidden/>
              </w:rPr>
              <w:fldChar w:fldCharType="separate"/>
            </w:r>
            <w:r>
              <w:rPr>
                <w:noProof/>
                <w:webHidden/>
              </w:rPr>
              <w:t>10</w:t>
            </w:r>
            <w:r>
              <w:rPr>
                <w:noProof/>
                <w:webHidden/>
              </w:rPr>
              <w:fldChar w:fldCharType="end"/>
            </w:r>
          </w:hyperlink>
        </w:p>
        <w:p w:rsidR="00435701" w:rsidRDefault="00435701">
          <w:pPr>
            <w:pStyle w:val="TOC2"/>
            <w:tabs>
              <w:tab w:val="right" w:leader="dot" w:pos="9350"/>
            </w:tabs>
            <w:rPr>
              <w:rFonts w:eastAsiaTheme="minorEastAsia"/>
              <w:noProof/>
            </w:rPr>
          </w:pPr>
          <w:hyperlink w:anchor="_Toc5054415" w:history="1">
            <w:r w:rsidRPr="00510B0E">
              <w:rPr>
                <w:rStyle w:val="Hyperlink"/>
                <w:noProof/>
              </w:rPr>
              <w:t>6.0 Adherence to the Specification Requirements</w:t>
            </w:r>
            <w:r>
              <w:rPr>
                <w:noProof/>
                <w:webHidden/>
              </w:rPr>
              <w:tab/>
            </w:r>
            <w:r>
              <w:rPr>
                <w:noProof/>
                <w:webHidden/>
              </w:rPr>
              <w:fldChar w:fldCharType="begin"/>
            </w:r>
            <w:r>
              <w:rPr>
                <w:noProof/>
                <w:webHidden/>
              </w:rPr>
              <w:instrText xml:space="preserve"> PAGEREF _Toc5054415 \h </w:instrText>
            </w:r>
            <w:r>
              <w:rPr>
                <w:noProof/>
                <w:webHidden/>
              </w:rPr>
            </w:r>
            <w:r>
              <w:rPr>
                <w:noProof/>
                <w:webHidden/>
              </w:rPr>
              <w:fldChar w:fldCharType="separate"/>
            </w:r>
            <w:r>
              <w:rPr>
                <w:noProof/>
                <w:webHidden/>
              </w:rPr>
              <w:t>11</w:t>
            </w:r>
            <w:r>
              <w:rPr>
                <w:noProof/>
                <w:webHidden/>
              </w:rPr>
              <w:fldChar w:fldCharType="end"/>
            </w:r>
          </w:hyperlink>
        </w:p>
        <w:p w:rsidR="00435701" w:rsidRDefault="00435701">
          <w:pPr>
            <w:pStyle w:val="TOC1"/>
            <w:rPr>
              <w:rFonts w:eastAsiaTheme="minorEastAsia"/>
              <w:b w:val="0"/>
              <w:noProof/>
              <w:sz w:val="22"/>
            </w:rPr>
          </w:pPr>
          <w:hyperlink w:anchor="_Toc5054416" w:history="1">
            <w:r w:rsidRPr="00510B0E">
              <w:rPr>
                <w:rStyle w:val="Hyperlink"/>
                <w:noProof/>
              </w:rPr>
              <w:t>Appendix I: Language Translations</w:t>
            </w:r>
            <w:r>
              <w:rPr>
                <w:noProof/>
                <w:webHidden/>
              </w:rPr>
              <w:tab/>
            </w:r>
            <w:r>
              <w:rPr>
                <w:noProof/>
                <w:webHidden/>
              </w:rPr>
              <w:fldChar w:fldCharType="begin"/>
            </w:r>
            <w:r>
              <w:rPr>
                <w:noProof/>
                <w:webHidden/>
              </w:rPr>
              <w:instrText xml:space="preserve"> PAGEREF _Toc5054416 \h </w:instrText>
            </w:r>
            <w:r>
              <w:rPr>
                <w:noProof/>
                <w:webHidden/>
              </w:rPr>
            </w:r>
            <w:r>
              <w:rPr>
                <w:noProof/>
                <w:webHidden/>
              </w:rPr>
              <w:fldChar w:fldCharType="separate"/>
            </w:r>
            <w:r>
              <w:rPr>
                <w:noProof/>
                <w:webHidden/>
              </w:rPr>
              <w:t>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bookmarkStart w:id="0" w:name="_GoBack"/>
      <w:bookmarkEnd w:id="0"/>
    </w:p>
    <w:p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435701" w:rsidRDefault="00435701" w:rsidP="00435701">
      <w:pPr>
        <w:rPr>
          <w:rFonts w:cs="Arial"/>
          <w:color w:val="333333"/>
          <w:shd w:val="clear" w:color="auto" w:fill="FFFFFF"/>
        </w:rPr>
      </w:pPr>
    </w:p>
    <w:p w:rsidR="00435701" w:rsidRDefault="00435701" w:rsidP="00435701">
      <w:pPr>
        <w:rPr>
          <w:rFonts w:cs="Arial"/>
          <w:color w:val="333333"/>
          <w:shd w:val="clear" w:color="auto" w:fill="FFFFFF"/>
        </w:rPr>
      </w:pPr>
      <w:r w:rsidRPr="00435701">
        <w:rPr>
          <w:rFonts w:cs="Arial"/>
          <w:color w:val="C00000"/>
          <w:shd w:val="clear" w:color="auto" w:fill="FFFFFF"/>
        </w:rPr>
        <w:t>[</w:t>
      </w:r>
      <w:r w:rsidRPr="00435701">
        <w:rPr>
          <w:rFonts w:cs="Arial"/>
          <w:i/>
          <w:color w:val="C00000"/>
          <w:shd w:val="clear" w:color="auto" w:fill="FFFFFF"/>
        </w:rPr>
        <w:t>Translation of the above English text goes here</w:t>
      </w:r>
      <w:r w:rsidRPr="00435701">
        <w:rPr>
          <w:rFonts w:cs="Arial"/>
          <w:color w:val="C00000"/>
          <w:shd w:val="clear" w:color="auto" w:fill="FFFFFF"/>
        </w:rPr>
        <w:t>]</w:t>
      </w:r>
      <w:r>
        <w:rPr>
          <w:rFonts w:cs="Arial"/>
          <w:color w:val="333333"/>
          <w:shd w:val="clear" w:color="auto" w:fill="FFFFFF"/>
        </w:rPr>
        <w:t xml:space="preserve"> </w:t>
      </w:r>
    </w:p>
    <w:p w:rsidR="0054470A" w:rsidRDefault="0054470A"/>
    <w:p w:rsidR="00435701" w:rsidRDefault="00435701"/>
    <w:p w:rsidR="00E432E2" w:rsidRDefault="00E432E2"/>
    <w:p w:rsidR="00CA291F" w:rsidRDefault="00CA291F"/>
    <w:p w:rsidR="00E432E2" w:rsidRDefault="00E432E2"/>
    <w:p w:rsidR="00385A8B" w:rsidRDefault="00385A8B"/>
    <w:p w:rsidR="00385A8B" w:rsidRDefault="00385A8B"/>
    <w:p w:rsidR="00C9533E" w:rsidRDefault="00C9533E"/>
    <w:p w:rsidR="003E5798" w:rsidRDefault="003E5798"/>
    <w:p w:rsidR="00A41BCD" w:rsidRDefault="00A41BCD"/>
    <w:p w:rsidR="000706DC" w:rsidRDefault="000706DC"/>
    <w:p w:rsidR="009E7C0B" w:rsidRDefault="009E7C0B"/>
    <w:p w:rsidR="00977723" w:rsidRPr="00EB6739" w:rsidRDefault="00977723" w:rsidP="00344467">
      <w:pPr>
        <w:spacing w:before="100" w:beforeAutospacing="1"/>
      </w:pPr>
      <w:r>
        <w:t>Copyright © 2016-2019</w:t>
      </w:r>
      <w:r w:rsidR="00AD135D" w:rsidRPr="00850BC6">
        <w:t xml:space="preserve"> Linux Foundation. This document is licensed under the Creative Commons Attribution 4.0 International (CC-</w:t>
      </w:r>
      <w:r w:rsidR="000B2DE9" w:rsidRPr="00850BC6">
        <w:t>BY</w:t>
      </w:r>
      <w:r w:rsidR="000B2DE9">
        <w:t>-</w:t>
      </w:r>
      <w:r w:rsidR="00AD135D" w:rsidRPr="00850BC6">
        <w:t>4.0) license.</w:t>
      </w:r>
      <w:r w:rsidR="006D01ED" w:rsidRPr="00850BC6">
        <w:t xml:space="preserve"> A copy of the license can be found at </w:t>
      </w:r>
      <w:hyperlink r:id="rId10" w:history="1">
        <w:r w:rsidR="00850BC6" w:rsidRPr="00D00F43">
          <w:rPr>
            <w:rStyle w:val="Hyperlink"/>
          </w:rPr>
          <w:t>https://creativecommons.org/licenses/by/4.0/</w:t>
        </w:r>
      </w:hyperlink>
      <w:r w:rsidR="006D01ED" w:rsidRPr="00850BC6">
        <w:t>.</w:t>
      </w:r>
      <w:bookmarkStart w:id="1" w:name="_Toc457078795"/>
    </w:p>
    <w:p w:rsidR="002821C1" w:rsidRDefault="002821C1" w:rsidP="00AE572C">
      <w:pPr>
        <w:pStyle w:val="Heading1"/>
        <w:numPr>
          <w:ilvl w:val="0"/>
          <w:numId w:val="25"/>
        </w:numPr>
        <w:tabs>
          <w:tab w:val="left" w:pos="7160"/>
        </w:tabs>
        <w:spacing w:before="60"/>
      </w:pPr>
      <w:bookmarkStart w:id="2" w:name="_Toc5054407"/>
      <w:r w:rsidRPr="00661E9D">
        <w:lastRenderedPageBreak/>
        <w:t>Introduction</w:t>
      </w:r>
      <w:bookmarkEnd w:id="1"/>
      <w:bookmarkEnd w:id="2"/>
      <w:r w:rsidR="00D86FAE">
        <w:tab/>
      </w:r>
    </w:p>
    <w:p w:rsidR="00885A48" w:rsidRPr="00885A48" w:rsidRDefault="00885A48" w:rsidP="0043796C">
      <w:pPr>
        <w:spacing w:before="60"/>
        <w:rPr>
          <w:sz w:val="2"/>
        </w:rPr>
      </w:pPr>
    </w:p>
    <w:p w:rsidR="000A7504" w:rsidRPr="00344467" w:rsidRDefault="000A7504" w:rsidP="000A7504">
      <w:pPr>
        <w:rPr>
          <w:rFonts w:eastAsia="Times New Roman"/>
        </w:rPr>
      </w:pPr>
      <w:r w:rsidRPr="00344467">
        <w:t xml:space="preserve">This specification defines the key requirements of a quality open source </w:t>
      </w:r>
      <w:r w:rsidR="00A57F05" w:rsidRPr="00344467">
        <w:t xml:space="preserve">license </w:t>
      </w:r>
      <w:r w:rsidRPr="00344467">
        <w:t xml:space="preserve">compliance program. The objective is to provide a benchmark that builds trust between organizations exchanging software solutions comprised of open source software. Specification conformance provides assurance that a </w:t>
      </w:r>
      <w:r w:rsidR="00A57F05" w:rsidRPr="00344467">
        <w:t>P</w:t>
      </w:r>
      <w:r w:rsidRPr="00344467">
        <w:t>rogram has been designed to produce the required Compliance Artifacts (</w:t>
      </w:r>
      <w:r w:rsidRPr="00344467">
        <w:rPr>
          <w:i/>
        </w:rPr>
        <w:t>i.e.</w:t>
      </w:r>
      <w:r w:rsidRPr="00344467">
        <w:t>, legal notices, source code and so forth) for each software solution. The OpenChain Specification focuses on the</w:t>
      </w:r>
      <w:r w:rsidR="00A57F05" w:rsidRPr="00344467">
        <w:t xml:space="preserve"> “what” and “why” aspects of a P</w:t>
      </w:r>
      <w:r w:rsidRPr="00344467">
        <w:t xml:space="preserve">rogram rather than the “how” and “when”. This ensures flexibility for different organizations of different sizes in different markets to choose specific policy and process content that fits their size, goals and scope. For instance, an OpenChain Conformant </w:t>
      </w:r>
      <w:r w:rsidR="00A57F05" w:rsidRPr="00344467">
        <w:t>P</w:t>
      </w:r>
      <w:r w:rsidRPr="00344467">
        <w:t>rogram may address a single product line or the entire organization</w:t>
      </w:r>
      <w:r w:rsidRPr="00344467">
        <w:rPr>
          <w:rFonts w:eastAsia="Times New Roman"/>
        </w:rPr>
        <w:t>.</w:t>
      </w:r>
    </w:p>
    <w:p w:rsidR="00F436CC" w:rsidRPr="00344467" w:rsidRDefault="00F436CC" w:rsidP="00F436CC">
      <w:pPr>
        <w:rPr>
          <w:rFonts w:eastAsia="Times New Roman"/>
        </w:rPr>
      </w:pPr>
    </w:p>
    <w:p w:rsidR="000A7504" w:rsidRPr="00344467" w:rsidRDefault="000A7504" w:rsidP="000A7504">
      <w:pPr>
        <w:rPr>
          <w:rFonts w:eastAsia="Times New Roman"/>
        </w:rPr>
      </w:pPr>
      <w:r w:rsidRPr="00344467">
        <w:rPr>
          <w:rFonts w:eastAsia="Times New Roman"/>
        </w:rPr>
        <w:t xml:space="preserve">This introduction provides the context for all potential users. Section 2 defines key terms used throughout </w:t>
      </w:r>
      <w:r w:rsidR="00374E78" w:rsidRPr="00344467">
        <w:rPr>
          <w:rFonts w:eastAsia="Times New Roman"/>
        </w:rPr>
        <w:t xml:space="preserve">the </w:t>
      </w:r>
      <w:r w:rsidR="00FD3A3B" w:rsidRPr="00344467">
        <w:rPr>
          <w:rFonts w:eastAsia="Times New Roman"/>
        </w:rPr>
        <w:t>S</w:t>
      </w:r>
      <w:r w:rsidRPr="00344467">
        <w:rPr>
          <w:rFonts w:eastAsia="Times New Roman"/>
        </w:rPr>
        <w:t>pecification. Section 3 defines the requirements that a Program must satisfy to achieve conformance. A requirement consists of one or more Verification Materials (</w:t>
      </w:r>
      <w:r w:rsidRPr="00344467">
        <w:rPr>
          <w:rFonts w:eastAsia="Times New Roman"/>
          <w:i/>
        </w:rPr>
        <w:t>i.e.</w:t>
      </w:r>
      <w:r w:rsidRPr="00344467">
        <w:rPr>
          <w:rFonts w:eastAsia="Times New Roman"/>
        </w:rPr>
        <w:t xml:space="preserve">, records) that must be produced to satisfy the requirement. Verification Materials are not required to be made public, though </w:t>
      </w:r>
      <w:r w:rsidR="00374E78" w:rsidRPr="00344467">
        <w:rPr>
          <w:rFonts w:eastAsia="Times New Roman"/>
        </w:rPr>
        <w:t>an organization</w:t>
      </w:r>
      <w:r w:rsidRPr="00344467">
        <w:rPr>
          <w:rFonts w:eastAsia="Times New Roman"/>
        </w:rPr>
        <w:t xml:space="preserve"> may choose to provide them to others, potentially under a Non-Disclosure Agreement (NDA). </w:t>
      </w:r>
    </w:p>
    <w:p w:rsidR="000E4D77" w:rsidRPr="00344467" w:rsidRDefault="000E4D77" w:rsidP="0014404C">
      <w:pPr>
        <w:rPr>
          <w:rFonts w:eastAsia="Times New Roman"/>
        </w:rPr>
      </w:pPr>
    </w:p>
    <w:p w:rsidR="000A7504" w:rsidRPr="00A97537" w:rsidRDefault="000A7504" w:rsidP="000A7504">
      <w:r w:rsidRPr="00344467">
        <w:rPr>
          <w:rFonts w:eastAsia="Times New Roman"/>
        </w:rPr>
        <w:t xml:space="preserve">The Specification is developed as an open initiative with feedback received from over 150 contributors. Insight into its historical development can be obtained by reviewing the </w:t>
      </w:r>
      <w:r w:rsidRPr="00344467">
        <w:t xml:space="preserve">Specification </w:t>
      </w:r>
      <w:hyperlink r:id="rId11" w:history="1">
        <w:r w:rsidRPr="00344467">
          <w:rPr>
            <w:rStyle w:val="Hyperlink"/>
          </w:rPr>
          <w:t>mailing list</w:t>
        </w:r>
      </w:hyperlink>
      <w:r w:rsidRPr="00344467">
        <w:t xml:space="preserve"> and </w:t>
      </w:r>
      <w:hyperlink r:id="rId12" w:history="1">
        <w:r w:rsidRPr="00344467">
          <w:rPr>
            <w:rStyle w:val="Hyperlink"/>
          </w:rPr>
          <w:t>Frequently Asked Questions (FAQs)</w:t>
        </w:r>
      </w:hyperlink>
      <w:r w:rsidRPr="00344467">
        <w:t>.</w:t>
      </w:r>
    </w:p>
    <w:p w:rsidR="00223012" w:rsidRDefault="00223012" w:rsidP="0043796C">
      <w:pPr>
        <w:spacing w:before="60"/>
      </w:pPr>
    </w:p>
    <w:p w:rsidR="00481CA6" w:rsidRDefault="00481CA6" w:rsidP="00724F9F">
      <w:pPr>
        <w:jc w:val="left"/>
      </w:pPr>
      <w:bookmarkStart w:id="3" w:name="_Toc457078796"/>
    </w:p>
    <w:p w:rsidR="00F94886" w:rsidRDefault="00F94886" w:rsidP="003D7900"/>
    <w:p w:rsidR="002024A2" w:rsidRDefault="002024A2">
      <w:pPr>
        <w:spacing w:after="200" w:line="276" w:lineRule="auto"/>
        <w:jc w:val="left"/>
      </w:pPr>
      <w:r>
        <w:br w:type="page"/>
      </w:r>
    </w:p>
    <w:p w:rsidR="000C07E6" w:rsidRPr="003D7900" w:rsidRDefault="000C07E6" w:rsidP="003D7900"/>
    <w:p w:rsidR="002821C1" w:rsidRDefault="002821C1" w:rsidP="00AE572C">
      <w:pPr>
        <w:pStyle w:val="Heading1"/>
        <w:numPr>
          <w:ilvl w:val="0"/>
          <w:numId w:val="25"/>
        </w:numPr>
        <w:spacing w:before="60"/>
      </w:pPr>
      <w:bookmarkStart w:id="4" w:name="_Toc5054408"/>
      <w:r w:rsidRPr="00661E9D">
        <w:t>Definitions</w:t>
      </w:r>
      <w:bookmarkEnd w:id="3"/>
      <w:bookmarkEnd w:id="4"/>
    </w:p>
    <w:p w:rsidR="00885A48" w:rsidRPr="00885A48" w:rsidRDefault="00885A48" w:rsidP="0043796C">
      <w:pPr>
        <w:spacing w:before="60"/>
        <w:rPr>
          <w:sz w:val="2"/>
        </w:rPr>
      </w:pPr>
    </w:p>
    <w:p w:rsidR="00713A0A" w:rsidRDefault="000A7504" w:rsidP="0043796C">
      <w:pPr>
        <w:spacing w:before="60"/>
      </w:pPr>
      <w:proofErr w:type="gramStart"/>
      <w:r w:rsidRPr="00344467">
        <w:rPr>
          <w:b/>
        </w:rPr>
        <w:t>“</w:t>
      </w:r>
      <w:r w:rsidR="00713A0A" w:rsidRPr="00344467">
        <w:rPr>
          <w:b/>
        </w:rPr>
        <w:t>Compliance Artifacts</w:t>
      </w:r>
      <w:r w:rsidRPr="00344467">
        <w:rPr>
          <w:b/>
        </w:rPr>
        <w:t>”</w:t>
      </w:r>
      <w:r w:rsidR="00713A0A" w:rsidRPr="00344467">
        <w:rPr>
          <w:b/>
        </w:rPr>
        <w:t xml:space="preserve"> - </w:t>
      </w:r>
      <w:r w:rsidR="00713A0A" w:rsidRPr="00344467">
        <w:t xml:space="preserve">a collection of artifacts </w:t>
      </w:r>
      <w:r w:rsidR="00772B4B" w:rsidRPr="00344467">
        <w:t xml:space="preserve">that </w:t>
      </w:r>
      <w:r w:rsidR="00713A0A" w:rsidRPr="00344467">
        <w:t xml:space="preserve">represent the output of the </w:t>
      </w:r>
      <w:r w:rsidR="00F21394" w:rsidRPr="00344467">
        <w:t>P</w:t>
      </w:r>
      <w:r w:rsidR="00713A0A" w:rsidRPr="00344467">
        <w:t xml:space="preserve">rogram for </w:t>
      </w:r>
      <w:r w:rsidR="00254D91" w:rsidRPr="00344467">
        <w:t>the</w:t>
      </w:r>
      <w:r w:rsidR="00713A0A" w:rsidRPr="00344467">
        <w:t xml:space="preserve"> Supplied Software.</w:t>
      </w:r>
      <w:proofErr w:type="gramEnd"/>
      <w:r w:rsidR="00713A0A" w:rsidRPr="00713A0A">
        <w:t xml:space="preserve"> The collection may include (but </w:t>
      </w:r>
      <w:r w:rsidR="00374E78" w:rsidRPr="00344467">
        <w:t>is</w:t>
      </w:r>
      <w:r w:rsidR="00374E78" w:rsidRPr="00713A0A">
        <w:t xml:space="preserve"> </w:t>
      </w:r>
      <w:r w:rsidR="00713A0A" w:rsidRPr="00713A0A">
        <w:t xml:space="preserve">not limited to) one or more of the following: source code, attribution notices, copyright notices, copy of licenses, modification notifications, written offers, </w:t>
      </w:r>
      <w:r w:rsidR="007D4ECD">
        <w:t>Open Source</w:t>
      </w:r>
      <w:r w:rsidR="00E97A95">
        <w:t xml:space="preserve"> component </w:t>
      </w:r>
      <w:r w:rsidR="000A33B8" w:rsidRPr="00F52001">
        <w:rPr>
          <w:bCs/>
        </w:rPr>
        <w:t>bill of materials</w:t>
      </w:r>
      <w:r w:rsidR="000A33B8">
        <w:t xml:space="preserve">, </w:t>
      </w:r>
      <w:r w:rsidR="00F21394">
        <w:t xml:space="preserve">and </w:t>
      </w:r>
      <w:r w:rsidR="00713A0A" w:rsidRPr="00713A0A">
        <w:t>SPDX documents</w:t>
      </w:r>
      <w:r w:rsidR="00713A0A">
        <w:t>.</w:t>
      </w:r>
    </w:p>
    <w:p w:rsidR="00B46970" w:rsidRPr="00443BD6" w:rsidRDefault="00B46970" w:rsidP="002C1647"/>
    <w:p w:rsidR="002C1647" w:rsidRDefault="000A7504" w:rsidP="002C1647">
      <w:r w:rsidRPr="00344467">
        <w:rPr>
          <w:b/>
        </w:rPr>
        <w:t>“</w:t>
      </w:r>
      <w:r w:rsidR="008A6852" w:rsidRPr="00713A0A">
        <w:rPr>
          <w:b/>
        </w:rPr>
        <w:t>Identified Licenses</w:t>
      </w:r>
      <w:r w:rsidRPr="00344467">
        <w:rPr>
          <w:b/>
        </w:rPr>
        <w:t>”</w:t>
      </w:r>
      <w:r w:rsidR="008A6852" w:rsidRPr="00344467">
        <w:t xml:space="preserve"> - a set of </w:t>
      </w:r>
      <w:r w:rsidR="00794AC1" w:rsidRPr="00344467">
        <w:t xml:space="preserve">Open Source Software </w:t>
      </w:r>
      <w:r w:rsidR="008A6852" w:rsidRPr="00344467">
        <w:t>licenses identified as a result of following an appropriate method of identifying</w:t>
      </w:r>
      <w:r w:rsidR="00713A0A" w:rsidRPr="00344467">
        <w:t xml:space="preserve"> </w:t>
      </w:r>
      <w:r w:rsidR="00681200" w:rsidRPr="00344467">
        <w:t>Open Source components from which the Supplied Software is comprised</w:t>
      </w:r>
      <w:r w:rsidR="008A6852" w:rsidRPr="00344467">
        <w:t>.</w:t>
      </w:r>
    </w:p>
    <w:p w:rsidR="00F94886" w:rsidRPr="00661E9D" w:rsidRDefault="00F94886" w:rsidP="002C1647"/>
    <w:p w:rsidR="00443BD6" w:rsidRDefault="000A7504" w:rsidP="00443BD6">
      <w:r w:rsidRPr="00344467">
        <w:rPr>
          <w:b/>
        </w:rPr>
        <w:t>“</w:t>
      </w:r>
      <w:r w:rsidR="00443BD6" w:rsidRPr="00344467">
        <w:rPr>
          <w:b/>
        </w:rPr>
        <w:t xml:space="preserve">OpenChain </w:t>
      </w:r>
      <w:r w:rsidR="002718B9" w:rsidRPr="00344467">
        <w:rPr>
          <w:b/>
        </w:rPr>
        <w:t>Conformant</w:t>
      </w:r>
      <w:r w:rsidR="003E05D8" w:rsidRPr="00344467">
        <w:t xml:space="preserve">” </w:t>
      </w:r>
      <w:r w:rsidR="00BB0B18" w:rsidRPr="00344467">
        <w:t>-</w:t>
      </w:r>
      <w:r w:rsidR="00443BD6" w:rsidRPr="00344467">
        <w:t xml:space="preserve"> a </w:t>
      </w:r>
      <w:r w:rsidR="003E05D8" w:rsidRPr="00344467">
        <w:t xml:space="preserve">Program </w:t>
      </w:r>
      <w:r w:rsidR="00443BD6" w:rsidRPr="00344467">
        <w:t>that satisfies all the requirements</w:t>
      </w:r>
      <w:r w:rsidR="00443BD6" w:rsidRPr="00661E9D">
        <w:t xml:space="preserve"> of this specification.</w:t>
      </w:r>
    </w:p>
    <w:p w:rsidR="003E05D8" w:rsidRDefault="003E05D8" w:rsidP="00443BD6"/>
    <w:p w:rsidR="003E05D8" w:rsidRDefault="003E05D8" w:rsidP="002718B9">
      <w:r w:rsidRPr="00344467">
        <w:rPr>
          <w:b/>
        </w:rPr>
        <w:t>“Open Source”</w:t>
      </w:r>
      <w:r>
        <w:rPr>
          <w:b/>
        </w:rPr>
        <w:t xml:space="preserve"> </w:t>
      </w:r>
      <w:r w:rsidRPr="00661E9D">
        <w:t xml:space="preserve"> - software subject to one or more licenses that meet the Open Source Definition published by the Open Source Initiative (OpenSource.org) or the Free Software Definition (published by the Free Software Foundation) or similar license.</w:t>
      </w:r>
    </w:p>
    <w:p w:rsidR="003E05D8" w:rsidRDefault="003E05D8" w:rsidP="002718B9"/>
    <w:p w:rsidR="003E05D8" w:rsidRDefault="003E05D8" w:rsidP="003E05D8">
      <w:pPr>
        <w:spacing w:before="60"/>
      </w:pPr>
      <w:proofErr w:type="gramStart"/>
      <w:r w:rsidRPr="00344467">
        <w:t>“</w:t>
      </w:r>
      <w:r w:rsidRPr="00344467">
        <w:rPr>
          <w:b/>
        </w:rPr>
        <w:t>Program</w:t>
      </w:r>
      <w:r w:rsidRPr="00344467">
        <w:t xml:space="preserve">” – the set of policies, processes and personnel that manage an organization’s Open Source </w:t>
      </w:r>
      <w:r w:rsidR="00A57F05" w:rsidRPr="00344467">
        <w:t xml:space="preserve">license </w:t>
      </w:r>
      <w:r w:rsidRPr="00344467">
        <w:t>compliance activities.</w:t>
      </w:r>
      <w:proofErr w:type="gramEnd"/>
      <w:r>
        <w:t xml:space="preserve"> </w:t>
      </w:r>
    </w:p>
    <w:p w:rsidR="00F94886" w:rsidRDefault="00F94886" w:rsidP="00443BD6">
      <w:pPr>
        <w:rPr>
          <w:b/>
        </w:rPr>
      </w:pPr>
    </w:p>
    <w:p w:rsidR="00443BD6" w:rsidRDefault="00375883" w:rsidP="00443BD6">
      <w:r>
        <w:rPr>
          <w:b/>
        </w:rPr>
        <w:t>“</w:t>
      </w:r>
      <w:r w:rsidR="00443BD6" w:rsidRPr="00661E9D">
        <w:rPr>
          <w:b/>
        </w:rPr>
        <w:t>Software Staff</w:t>
      </w:r>
      <w:r>
        <w:rPr>
          <w:b/>
        </w:rPr>
        <w:t>”</w:t>
      </w:r>
      <w:r w:rsidR="00443BD6" w:rsidRPr="00661E9D">
        <w:t xml:space="preserve"> - </w:t>
      </w:r>
      <w:r w:rsidR="00443BD6">
        <w:t>a</w:t>
      </w:r>
      <w:r w:rsidR="00443BD6" w:rsidRPr="00661E9D">
        <w:t xml:space="preserve">ny </w:t>
      </w:r>
      <w:r w:rsidR="002718B9" w:rsidRPr="002C05CC">
        <w:t>organization</w:t>
      </w:r>
      <w:r w:rsidR="002718B9">
        <w:t xml:space="preserve"> </w:t>
      </w:r>
      <w:r w:rsidR="00443BD6" w:rsidRPr="00661E9D">
        <w:t>employee or contractor that defines, contributes to or has responsib</w:t>
      </w:r>
      <w:r w:rsidR="00443BD6">
        <w:t>ility</w:t>
      </w:r>
      <w:r w:rsidR="00443BD6" w:rsidRPr="00661E9D">
        <w:t xml:space="preserve"> for preparing Supplied Software. </w:t>
      </w:r>
      <w:r w:rsidR="00443BD6">
        <w:t>Depending on the organization, t</w:t>
      </w:r>
      <w:r w:rsidR="00443BD6" w:rsidRPr="00661E9D">
        <w:t>hat</w:t>
      </w:r>
      <w:r w:rsidR="00443BD6">
        <w:t xml:space="preserve"> may</w:t>
      </w:r>
      <w:r w:rsidR="00443BD6" w:rsidRPr="00661E9D">
        <w:t xml:space="preserve"> include (but </w:t>
      </w:r>
      <w:r w:rsidR="00443BD6">
        <w:t xml:space="preserve">is </w:t>
      </w:r>
      <w:r w:rsidR="00443BD6" w:rsidRPr="00661E9D">
        <w:t>not limited to) software developers, release engineers, quality engineer</w:t>
      </w:r>
      <w:r w:rsidR="00443BD6">
        <w:t>s</w:t>
      </w:r>
      <w:r w:rsidR="00443BD6" w:rsidRPr="00661E9D">
        <w:t xml:space="preserve">, </w:t>
      </w:r>
      <w:r w:rsidR="00443BD6">
        <w:t xml:space="preserve">product </w:t>
      </w:r>
      <w:r w:rsidR="00443BD6" w:rsidRPr="00661E9D">
        <w:t xml:space="preserve">marketing and </w:t>
      </w:r>
      <w:r w:rsidR="00443BD6">
        <w:t xml:space="preserve">product </w:t>
      </w:r>
      <w:r w:rsidR="00443BD6" w:rsidRPr="00661E9D">
        <w:t>management.</w:t>
      </w:r>
    </w:p>
    <w:p w:rsidR="00F94886" w:rsidRPr="00661E9D" w:rsidRDefault="00F94886" w:rsidP="00443BD6"/>
    <w:p w:rsidR="00443BD6" w:rsidRDefault="00375883" w:rsidP="002C1647">
      <w:r>
        <w:rPr>
          <w:b/>
        </w:rPr>
        <w:t>“</w:t>
      </w:r>
      <w:r w:rsidR="00443BD6" w:rsidRPr="00661E9D">
        <w:rPr>
          <w:b/>
        </w:rPr>
        <w:t>SPDX</w:t>
      </w:r>
      <w:r>
        <w:rPr>
          <w:b/>
        </w:rPr>
        <w:t>”</w:t>
      </w:r>
      <w:r w:rsidR="00443BD6" w:rsidRPr="00661E9D">
        <w:t xml:space="preserve"> </w:t>
      </w:r>
      <w:r w:rsidR="00BB0B18" w:rsidRPr="00661E9D">
        <w:t>-</w:t>
      </w:r>
      <w:r w:rsidR="00443BD6">
        <w:t xml:space="preserve"> the format standard created by the </w:t>
      </w:r>
      <w:r w:rsidR="003E05D8">
        <w:t xml:space="preserve">Linux Foundation’s </w:t>
      </w:r>
      <w:r w:rsidR="00443BD6">
        <w:t xml:space="preserve">SPDX </w:t>
      </w:r>
      <w:r w:rsidR="003E05D8">
        <w:t xml:space="preserve">(Software Package </w:t>
      </w:r>
      <w:r w:rsidR="000B2DE9">
        <w:t xml:space="preserve">Data </w:t>
      </w:r>
      <w:r w:rsidR="003E05D8">
        <w:t xml:space="preserve">Exchange) </w:t>
      </w:r>
      <w:r w:rsidR="00443BD6">
        <w:t xml:space="preserve">Working Group for exchanging license and copyright information for a given software package. A description of the SPDX specification can be found </w:t>
      </w:r>
      <w:r w:rsidR="00443BD6" w:rsidRPr="005E2228">
        <w:t>at ww</w:t>
      </w:r>
      <w:r w:rsidR="002F3265" w:rsidRPr="005E2228">
        <w:t>w</w:t>
      </w:r>
      <w:r w:rsidR="00443BD6">
        <w:t>.</w:t>
      </w:r>
      <w:r w:rsidR="00443BD6" w:rsidRPr="00661E9D">
        <w:t>spdx.org</w:t>
      </w:r>
      <w:r w:rsidR="00443BD6">
        <w:t>.</w:t>
      </w:r>
    </w:p>
    <w:p w:rsidR="00F94886" w:rsidRPr="00443BD6" w:rsidRDefault="00F94886" w:rsidP="002C1647"/>
    <w:p w:rsidR="002C1647" w:rsidRPr="004629E4" w:rsidRDefault="00375883" w:rsidP="002D6A3C">
      <w:proofErr w:type="gramStart"/>
      <w:r>
        <w:rPr>
          <w:b/>
        </w:rPr>
        <w:t>“</w:t>
      </w:r>
      <w:r w:rsidR="002C1647" w:rsidRPr="001320CC">
        <w:rPr>
          <w:b/>
        </w:rPr>
        <w:t>Supplied Software</w:t>
      </w:r>
      <w:r>
        <w:rPr>
          <w:b/>
        </w:rPr>
        <w:t>”</w:t>
      </w:r>
      <w:r w:rsidR="002C1647" w:rsidRPr="001320CC">
        <w:t xml:space="preserve"> </w:t>
      </w:r>
      <w:r w:rsidR="00BB0B18" w:rsidRPr="001320CC">
        <w:t>-</w:t>
      </w:r>
      <w:r w:rsidR="00D4793C" w:rsidRPr="001320CC">
        <w:t xml:space="preserve"> </w:t>
      </w:r>
      <w:r w:rsidR="002C1647" w:rsidRPr="001320CC">
        <w:t xml:space="preserve">software that an organization </w:t>
      </w:r>
      <w:r w:rsidR="007D413C" w:rsidRPr="002C05CC">
        <w:t xml:space="preserve">distributes </w:t>
      </w:r>
      <w:r w:rsidR="002C1647" w:rsidRPr="002C05CC">
        <w:t>t</w:t>
      </w:r>
      <w:r w:rsidR="002C1647" w:rsidRPr="001320CC">
        <w:t>o third parties (</w:t>
      </w:r>
      <w:r w:rsidR="002C1647" w:rsidRPr="002718B9">
        <w:rPr>
          <w:i/>
        </w:rPr>
        <w:t>e.g.</w:t>
      </w:r>
      <w:r w:rsidR="002C1647" w:rsidRPr="001320CC">
        <w:t xml:space="preserve">, other organizations or </w:t>
      </w:r>
      <w:r w:rsidR="00ED438B" w:rsidRPr="001320CC">
        <w:t>i</w:t>
      </w:r>
      <w:r w:rsidR="002C1647" w:rsidRPr="001320CC">
        <w:t>ndividuals).</w:t>
      </w:r>
      <w:proofErr w:type="gramEnd"/>
    </w:p>
    <w:p w:rsidR="00F94886" w:rsidRDefault="00F94886" w:rsidP="002C1647"/>
    <w:p w:rsidR="00443BD6" w:rsidRPr="00661E9D" w:rsidRDefault="00375883" w:rsidP="00443BD6">
      <w:proofErr w:type="gramStart"/>
      <w:r>
        <w:rPr>
          <w:b/>
        </w:rPr>
        <w:t>“</w:t>
      </w:r>
      <w:r w:rsidR="00443BD6" w:rsidRPr="00661E9D">
        <w:rPr>
          <w:b/>
        </w:rPr>
        <w:t xml:space="preserve">Verification </w:t>
      </w:r>
      <w:r w:rsidR="00F03121">
        <w:rPr>
          <w:b/>
        </w:rPr>
        <w:t>Material</w:t>
      </w:r>
      <w:r w:rsidR="00F03121" w:rsidRPr="00661E9D">
        <w:rPr>
          <w:b/>
        </w:rPr>
        <w:t>s</w:t>
      </w:r>
      <w:r>
        <w:rPr>
          <w:b/>
        </w:rPr>
        <w:t>”</w:t>
      </w:r>
      <w:r w:rsidR="00F03121" w:rsidRPr="00661E9D">
        <w:rPr>
          <w:b/>
        </w:rPr>
        <w:t xml:space="preserve"> </w:t>
      </w:r>
      <w:r w:rsidR="00BB0B18" w:rsidRPr="00661E9D">
        <w:t>-</w:t>
      </w:r>
      <w:r w:rsidR="00443BD6" w:rsidRPr="00661E9D">
        <w:rPr>
          <w:b/>
        </w:rPr>
        <w:t xml:space="preserve"> </w:t>
      </w:r>
      <w:r w:rsidR="003E05D8" w:rsidRPr="002C05CC">
        <w:t>materials that demonstrate that</w:t>
      </w:r>
      <w:r w:rsidR="00443BD6" w:rsidRPr="00661E9D">
        <w:t xml:space="preserve"> a given requirement </w:t>
      </w:r>
      <w:r w:rsidR="003E05D8">
        <w:t>is</w:t>
      </w:r>
      <w:r w:rsidR="00443BD6" w:rsidRPr="00661E9D">
        <w:t xml:space="preserve"> satisfied.</w:t>
      </w:r>
      <w:proofErr w:type="gramEnd"/>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5054409"/>
      <w:r w:rsidRPr="00661E9D">
        <w:lastRenderedPageBreak/>
        <w:t>Requirements</w:t>
      </w:r>
      <w:bookmarkEnd w:id="5"/>
      <w:bookmarkEnd w:id="6"/>
    </w:p>
    <w:p w:rsidR="00813EC6" w:rsidRPr="000C2C43" w:rsidRDefault="00E0356E" w:rsidP="000C2C43">
      <w:pPr>
        <w:pStyle w:val="Heading2"/>
      </w:pPr>
      <w:bookmarkStart w:id="7" w:name="_Toc457078798"/>
      <w:bookmarkStart w:id="8" w:name="_Toc5054410"/>
      <w:r w:rsidRPr="000C2C43">
        <w:t>1</w:t>
      </w:r>
      <w:r w:rsidR="009C42B2">
        <w:t>.0</w:t>
      </w:r>
      <w:r w:rsidRPr="000C2C43">
        <w:t xml:space="preserve"> </w:t>
      </w:r>
      <w:bookmarkEnd w:id="7"/>
      <w:r w:rsidR="008C6D2C" w:rsidRPr="000C2C43">
        <w:t>Program Foundation</w:t>
      </w:r>
      <w:bookmarkEnd w:id="8"/>
    </w:p>
    <w:p w:rsidR="0094547D" w:rsidRPr="006A41CD" w:rsidRDefault="0094547D" w:rsidP="00CF0E6F">
      <w:pPr>
        <w:pStyle w:val="ListParagraph"/>
        <w:numPr>
          <w:ilvl w:val="1"/>
          <w:numId w:val="21"/>
        </w:numPr>
        <w:ind w:left="720" w:hanging="720"/>
        <w:rPr>
          <w:b/>
          <w:sz w:val="24"/>
          <w:szCs w:val="28"/>
        </w:rPr>
      </w:pPr>
      <w:r w:rsidRPr="006A41CD">
        <w:rPr>
          <w:b/>
          <w:sz w:val="24"/>
          <w:szCs w:val="28"/>
        </w:rPr>
        <w:t>Policy</w:t>
      </w:r>
    </w:p>
    <w:p w:rsidR="00C7360B" w:rsidRPr="000C2C43" w:rsidRDefault="00F04754" w:rsidP="000C2C43">
      <w:pPr>
        <w:ind w:left="720"/>
        <w:rPr>
          <w:b/>
        </w:rPr>
      </w:pPr>
      <w:r w:rsidRPr="000C2C43">
        <w:rPr>
          <w:b/>
        </w:rPr>
        <w:t xml:space="preserve">A written </w:t>
      </w:r>
      <w:r w:rsidR="00A53FE9" w:rsidRPr="000C2C43">
        <w:rPr>
          <w:b/>
        </w:rPr>
        <w:t>Open Source</w:t>
      </w:r>
      <w:r w:rsidRPr="000C2C43">
        <w:rPr>
          <w:b/>
        </w:rPr>
        <w:t xml:space="preserve"> policy exists </w:t>
      </w:r>
      <w:r w:rsidRPr="000C2C43">
        <w:rPr>
          <w:rStyle w:val="Strong"/>
          <w:lang w:val="en"/>
        </w:rPr>
        <w:t xml:space="preserve">that governs </w:t>
      </w:r>
      <w:r w:rsidR="00A53FE9" w:rsidRPr="000C2C43">
        <w:rPr>
          <w:rStyle w:val="Strong"/>
          <w:lang w:val="en"/>
        </w:rPr>
        <w:t>Open Source</w:t>
      </w:r>
      <w:r w:rsidRPr="000C2C43">
        <w:rPr>
          <w:rStyle w:val="Strong"/>
          <w:lang w:val="en"/>
        </w:rPr>
        <w:t xml:space="preserve"> license compliance </w:t>
      </w:r>
      <w:r w:rsidRPr="002C05CC">
        <w:rPr>
          <w:rStyle w:val="Strong"/>
          <w:lang w:val="en"/>
        </w:rPr>
        <w:t>of the Supplied Software.</w:t>
      </w:r>
      <w:r w:rsidRPr="000C2C43">
        <w:rPr>
          <w:rStyle w:val="Strong"/>
          <w:lang w:val="en"/>
        </w:rPr>
        <w:t xml:space="preserve"> </w:t>
      </w:r>
      <w:r w:rsidR="003E5798" w:rsidRPr="000C2C43">
        <w:rPr>
          <w:b/>
        </w:rPr>
        <w:t>The</w:t>
      </w:r>
      <w:r w:rsidRPr="000C2C43">
        <w:rPr>
          <w:b/>
        </w:rPr>
        <w:t xml:space="preserve"> policy </w:t>
      </w:r>
      <w:r w:rsidR="003E5798" w:rsidRPr="000C2C43">
        <w:rPr>
          <w:b/>
        </w:rPr>
        <w:t xml:space="preserve">must be </w:t>
      </w:r>
      <w:r w:rsidRPr="000C2C43">
        <w:rPr>
          <w:b/>
        </w:rPr>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4E7008" w:rsidRPr="00661E9D">
        <w:t>:</w:t>
      </w:r>
    </w:p>
    <w:p w:rsidR="00C7360B" w:rsidRPr="001C20B8" w:rsidRDefault="00443BD6" w:rsidP="0010225E">
      <w:pPr>
        <w:pStyle w:val="ListParagraph"/>
        <w:numPr>
          <w:ilvl w:val="0"/>
          <w:numId w:val="1"/>
        </w:numPr>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A53FE9">
        <w:t>Open Source</w:t>
      </w:r>
      <w:r w:rsidR="00C7360B" w:rsidRPr="00661E9D">
        <w:t xml:space="preserve"> </w:t>
      </w:r>
      <w:r w:rsidR="00C7360B" w:rsidRPr="001C20B8">
        <w:t>policy</w:t>
      </w:r>
      <w:r w:rsidR="00C54186" w:rsidRPr="001C20B8">
        <w:t>.</w:t>
      </w:r>
    </w:p>
    <w:p w:rsidR="002C1647" w:rsidRPr="00661E9D" w:rsidRDefault="00443BD6" w:rsidP="0010225E">
      <w:pPr>
        <w:pStyle w:val="ListParagraph"/>
        <w:numPr>
          <w:ilvl w:val="0"/>
          <w:numId w:val="1"/>
        </w:numPr>
        <w:spacing w:after="120"/>
      </w:pPr>
      <w:r w:rsidRPr="001C20B8">
        <w:t>1.1.2</w:t>
      </w:r>
      <w:r w:rsidR="004456E2" w:rsidRPr="001C20B8">
        <w:t xml:space="preserve"> </w:t>
      </w:r>
      <w:r w:rsidR="00C7360B" w:rsidRPr="001C20B8">
        <w:t xml:space="preserve">A </w:t>
      </w:r>
      <w:r w:rsidR="008A06E6" w:rsidRPr="001C20B8">
        <w:t>documented</w:t>
      </w:r>
      <w:r w:rsidR="00C7360B" w:rsidRPr="001C20B8">
        <w:t xml:space="preserve"> procedure </w:t>
      </w:r>
      <w:r w:rsidR="00F52001">
        <w:t xml:space="preserve">that makes </w:t>
      </w:r>
      <w:r w:rsidR="00C7360B" w:rsidRPr="00661E9D">
        <w:t xml:space="preserve">Software Staff aware of the existence of the </w:t>
      </w:r>
      <w:r w:rsidR="00A53FE9">
        <w:t>Open Source</w:t>
      </w:r>
      <w:r w:rsidR="00C7360B" w:rsidRPr="00661E9D">
        <w:t xml:space="preserve"> policy (</w:t>
      </w:r>
      <w:r w:rsidR="00C7360B" w:rsidRPr="00FD4643">
        <w:rPr>
          <w:i/>
        </w:rPr>
        <w:t>e.g.</w:t>
      </w:r>
      <w:r w:rsidR="00C7360B" w:rsidRPr="00661E9D">
        <w:t xml:space="preserve">,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2D6A3C" w:rsidP="0010225E">
      <w:pPr>
        <w:ind w:left="720"/>
      </w:pPr>
      <w:r>
        <w:t>To e</w:t>
      </w:r>
      <w:r w:rsidR="00D66241" w:rsidRPr="00661E9D">
        <w:t xml:space="preserve">nsure steps </w:t>
      </w:r>
      <w:r w:rsidR="00905AF3">
        <w:t>are</w:t>
      </w:r>
      <w:r w:rsidR="00905AF3" w:rsidRPr="00661E9D">
        <w:t xml:space="preserve"> </w:t>
      </w:r>
      <w:r w:rsidR="00D66241" w:rsidRPr="00661E9D">
        <w:t xml:space="preserve">taken to create, record and make </w:t>
      </w:r>
      <w:r w:rsidR="00A92395">
        <w:t xml:space="preserve">Software Staff </w:t>
      </w:r>
      <w:r w:rsidR="00D751A2" w:rsidRPr="00661E9D">
        <w:t xml:space="preserve">aware </w:t>
      </w:r>
      <w:r w:rsidR="003A2756">
        <w:t xml:space="preserve">of </w:t>
      </w:r>
      <w:r w:rsidR="00D751A2" w:rsidRPr="00661E9D">
        <w:t xml:space="preserve">the existence of </w:t>
      </w:r>
      <w:r w:rsidR="00CE17EF" w:rsidRPr="00661E9D">
        <w:t>an</w:t>
      </w:r>
      <w:r w:rsidR="00D751A2" w:rsidRPr="00661E9D">
        <w:t xml:space="preserve"> </w:t>
      </w:r>
      <w:r w:rsidR="00A53FE9">
        <w:t>Open Source</w:t>
      </w:r>
      <w:r w:rsidR="00D751A2" w:rsidRPr="00661E9D">
        <w:t xml:space="preserve"> </w:t>
      </w:r>
      <w:r w:rsidR="00D66241"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4456E2" w:rsidRDefault="004456E2" w:rsidP="00F82157">
      <w:pPr>
        <w:ind w:left="720"/>
      </w:pPr>
    </w:p>
    <w:p w:rsidR="008C6D2C" w:rsidRDefault="008C6D2C" w:rsidP="00F82157">
      <w:pPr>
        <w:ind w:left="720"/>
      </w:pPr>
    </w:p>
    <w:p w:rsidR="00813EC6" w:rsidRPr="006A41CD" w:rsidRDefault="008C6D2C" w:rsidP="008C6D2C">
      <w:pPr>
        <w:rPr>
          <w:b/>
          <w:sz w:val="20"/>
        </w:rPr>
      </w:pPr>
      <w:r w:rsidRPr="006A41CD">
        <w:rPr>
          <w:b/>
          <w:sz w:val="24"/>
        </w:rPr>
        <w:t xml:space="preserve">1.2 </w:t>
      </w:r>
      <w:r w:rsidRPr="006A41CD">
        <w:rPr>
          <w:b/>
          <w:sz w:val="20"/>
        </w:rPr>
        <w:tab/>
      </w:r>
      <w:r w:rsidR="00813EC6" w:rsidRPr="006A41CD">
        <w:rPr>
          <w:b/>
          <w:sz w:val="24"/>
        </w:rPr>
        <w:t>Competence</w:t>
      </w:r>
    </w:p>
    <w:p w:rsidR="008C6D2C" w:rsidRPr="008C6D2C" w:rsidRDefault="008C6D2C" w:rsidP="000C2C43">
      <w:pPr>
        <w:ind w:firstLine="720"/>
        <w:rPr>
          <w:b/>
        </w:rPr>
      </w:pPr>
      <w:r w:rsidRPr="008C6D2C">
        <w:rPr>
          <w:b/>
        </w:rPr>
        <w:t xml:space="preserve">The organization shall: </w:t>
      </w:r>
    </w:p>
    <w:p w:rsidR="008C6D2C" w:rsidRPr="008C6D2C" w:rsidRDefault="008C6D2C" w:rsidP="008C6D2C">
      <w:pPr>
        <w:pStyle w:val="ListParagraph"/>
        <w:numPr>
          <w:ilvl w:val="0"/>
          <w:numId w:val="5"/>
        </w:numPr>
        <w:contextualSpacing w:val="0"/>
        <w:jc w:val="left"/>
        <w:rPr>
          <w:b/>
        </w:rPr>
      </w:pPr>
      <w:r w:rsidRPr="008C6D2C">
        <w:rPr>
          <w:b/>
        </w:rPr>
        <w:t xml:space="preserve">Identify the roles and the corresponding responsibilities of those roles that affects the performance and effectiveness of the </w:t>
      </w:r>
      <w:r w:rsidR="00C25D64">
        <w:rPr>
          <w:b/>
        </w:rPr>
        <w:t>P</w:t>
      </w:r>
      <w:r w:rsidRPr="008C6D2C">
        <w:rPr>
          <w:b/>
        </w:rPr>
        <w:t>rogram;</w:t>
      </w:r>
    </w:p>
    <w:p w:rsidR="008C6D2C" w:rsidRPr="008C6D2C" w:rsidRDefault="008C6D2C" w:rsidP="008C6D2C">
      <w:pPr>
        <w:pStyle w:val="ListParagraph"/>
        <w:numPr>
          <w:ilvl w:val="0"/>
          <w:numId w:val="5"/>
        </w:numPr>
        <w:contextualSpacing w:val="0"/>
        <w:jc w:val="left"/>
        <w:rPr>
          <w:b/>
        </w:rPr>
      </w:pPr>
      <w:r w:rsidRPr="008C6D2C">
        <w:rPr>
          <w:b/>
        </w:rPr>
        <w:t>Determine the necessary competence of person(s) fulfilling each role</w:t>
      </w:r>
    </w:p>
    <w:p w:rsidR="008C6D2C" w:rsidRPr="008C6D2C" w:rsidRDefault="008C6D2C" w:rsidP="008C6D2C">
      <w:pPr>
        <w:pStyle w:val="ListParagraph"/>
        <w:numPr>
          <w:ilvl w:val="0"/>
          <w:numId w:val="5"/>
        </w:numPr>
        <w:contextualSpacing w:val="0"/>
        <w:jc w:val="left"/>
        <w:rPr>
          <w:b/>
        </w:rPr>
      </w:pPr>
      <w:r w:rsidRPr="008C6D2C">
        <w:rPr>
          <w:b/>
        </w:rPr>
        <w:t xml:space="preserve">Ensure that these persons are competent on the basis of appropriate education, training, </w:t>
      </w:r>
      <w:r w:rsidR="00C25D64">
        <w:rPr>
          <w:b/>
        </w:rPr>
        <w:t>and/</w:t>
      </w:r>
      <w:r w:rsidRPr="008C6D2C">
        <w:rPr>
          <w:b/>
        </w:rPr>
        <w:t>or experience;</w:t>
      </w:r>
    </w:p>
    <w:p w:rsidR="008C6D2C" w:rsidRPr="008C6D2C" w:rsidRDefault="008C6D2C" w:rsidP="008C6D2C">
      <w:pPr>
        <w:pStyle w:val="ListParagraph"/>
        <w:numPr>
          <w:ilvl w:val="0"/>
          <w:numId w:val="5"/>
        </w:numPr>
        <w:contextualSpacing w:val="0"/>
        <w:jc w:val="left"/>
        <w:rPr>
          <w:b/>
        </w:rPr>
      </w:pPr>
      <w:r w:rsidRPr="008C6D2C">
        <w:rPr>
          <w:b/>
        </w:rPr>
        <w:t>Where applicable, take actions to acquire the necessary competence</w:t>
      </w:r>
      <w:r w:rsidR="00452B26">
        <w:rPr>
          <w:b/>
        </w:rPr>
        <w:t xml:space="preserve">; </w:t>
      </w:r>
      <w:r w:rsidR="00452B26" w:rsidRPr="005E2228">
        <w:rPr>
          <w:b/>
        </w:rPr>
        <w:t>and</w:t>
      </w:r>
    </w:p>
    <w:p w:rsidR="008C6D2C" w:rsidRPr="008C6D2C" w:rsidRDefault="008C6D2C" w:rsidP="008C6D2C">
      <w:pPr>
        <w:pStyle w:val="ListParagraph"/>
        <w:numPr>
          <w:ilvl w:val="0"/>
          <w:numId w:val="5"/>
        </w:numPr>
        <w:contextualSpacing w:val="0"/>
        <w:jc w:val="left"/>
        <w:rPr>
          <w:b/>
        </w:rPr>
      </w:pPr>
      <w:r w:rsidRPr="008C6D2C">
        <w:rPr>
          <w:b/>
        </w:rPr>
        <w:t>Retain appropriate documented information as evidence of competence</w:t>
      </w:r>
      <w:r w:rsidR="00452B26">
        <w:rPr>
          <w:b/>
        </w:rPr>
        <w:t>.</w:t>
      </w:r>
    </w:p>
    <w:p w:rsidR="004456E2" w:rsidRPr="00661E9D" w:rsidRDefault="004456E2" w:rsidP="00AE6EB4">
      <w:pPr>
        <w:ind w:left="720"/>
      </w:pPr>
    </w:p>
    <w:p w:rsidR="00027459" w:rsidRDefault="004456E2" w:rsidP="0086675C">
      <w:pPr>
        <w:ind w:left="720"/>
      </w:pPr>
      <w:r w:rsidRPr="00A9300A">
        <w:rPr>
          <w:b/>
        </w:rPr>
        <w:t xml:space="preserve">Verification </w:t>
      </w:r>
      <w:r w:rsidR="003B01F1">
        <w:rPr>
          <w:b/>
        </w:rPr>
        <w:t>Material</w:t>
      </w:r>
      <w:r w:rsidR="004E7008" w:rsidRPr="00A9300A">
        <w:rPr>
          <w:b/>
        </w:rPr>
        <w:t>(s)</w:t>
      </w:r>
      <w:r w:rsidRPr="00A9300A">
        <w:rPr>
          <w:b/>
        </w:rPr>
        <w:t>:</w:t>
      </w:r>
    </w:p>
    <w:p w:rsidR="00DC06DB" w:rsidRDefault="00DC06DB" w:rsidP="00DC06DB">
      <w:pPr>
        <w:pStyle w:val="ListParagraph"/>
        <w:numPr>
          <w:ilvl w:val="0"/>
          <w:numId w:val="1"/>
        </w:numPr>
      </w:pPr>
      <w:r w:rsidRPr="00DC06DB">
        <w:t xml:space="preserve">1.2.1 A documented list of roles with corresponding responsibilities </w:t>
      </w:r>
      <w:r w:rsidR="00762E87">
        <w:t>for the different</w:t>
      </w:r>
      <w:r w:rsidRPr="00DC06DB">
        <w:t xml:space="preserve"> </w:t>
      </w:r>
      <w:r w:rsidR="00FD4643" w:rsidRPr="00DC06DB">
        <w:t>participan</w:t>
      </w:r>
      <w:r w:rsidR="00FD4643">
        <w:t>ts</w:t>
      </w:r>
      <w:r w:rsidRPr="00DC06DB">
        <w:t xml:space="preserve"> in the</w:t>
      </w:r>
      <w:r w:rsidR="00452B26">
        <w:t xml:space="preserve"> </w:t>
      </w:r>
      <w:r w:rsidR="00035B29" w:rsidRPr="003F4FCF">
        <w:t>Program</w:t>
      </w:r>
      <w:r w:rsidR="00452B26">
        <w:t>.</w:t>
      </w:r>
    </w:p>
    <w:p w:rsidR="00762E87" w:rsidRDefault="00762E87" w:rsidP="00DC06DB">
      <w:pPr>
        <w:pStyle w:val="ListParagraph"/>
        <w:numPr>
          <w:ilvl w:val="0"/>
          <w:numId w:val="1"/>
        </w:numPr>
      </w:pPr>
      <w:r>
        <w:t xml:space="preserve">1.2.2 A document that identifies the </w:t>
      </w:r>
      <w:r w:rsidRPr="00DC06DB">
        <w:t>competenci</w:t>
      </w:r>
      <w:r>
        <w:t>es for each role</w:t>
      </w:r>
      <w:r w:rsidR="00452B26">
        <w:t>.</w:t>
      </w:r>
    </w:p>
    <w:p w:rsidR="00762E87" w:rsidRDefault="00762E87" w:rsidP="00DC06DB">
      <w:pPr>
        <w:pStyle w:val="ListParagraph"/>
        <w:numPr>
          <w:ilvl w:val="0"/>
          <w:numId w:val="1"/>
        </w:numPr>
      </w:pPr>
      <w:r>
        <w:t xml:space="preserve">1.2.3 Documented evidence of </w:t>
      </w:r>
      <w:r w:rsidR="00C25D64">
        <w:t>assessed</w:t>
      </w:r>
      <w:r>
        <w:t xml:space="preserve"> competence for each </w:t>
      </w:r>
      <w:r w:rsidR="00FD4643" w:rsidRPr="003F4FCF">
        <w:t>Program</w:t>
      </w:r>
      <w:r>
        <w:t xml:space="preserve"> participant</w:t>
      </w:r>
      <w:r w:rsidR="00452B26">
        <w:t>.</w:t>
      </w:r>
    </w:p>
    <w:p w:rsidR="004456E2" w:rsidRPr="00661E9D" w:rsidRDefault="004456E2" w:rsidP="00027459">
      <w:pPr>
        <w:spacing w:after="120"/>
        <w:ind w:left="360"/>
      </w:pPr>
    </w:p>
    <w:p w:rsidR="004456E2" w:rsidRDefault="004456E2">
      <w:pPr>
        <w:ind w:left="720"/>
      </w:pPr>
      <w:r w:rsidRPr="00661E9D">
        <w:rPr>
          <w:b/>
        </w:rPr>
        <w:t>Rationale</w:t>
      </w:r>
      <w:r w:rsidRPr="00661E9D">
        <w:t>:</w:t>
      </w:r>
    </w:p>
    <w:p w:rsidR="000C2C43" w:rsidRDefault="000C2C43" w:rsidP="00AE6EB4">
      <w:pPr>
        <w:ind w:left="720"/>
      </w:pPr>
      <w:r>
        <w:t xml:space="preserve">To ensure that the </w:t>
      </w:r>
      <w:r w:rsidR="00FD4643" w:rsidRPr="007D4DA9">
        <w:t xml:space="preserve">identified </w:t>
      </w:r>
      <w:r w:rsidRPr="007D4DA9">
        <w:t xml:space="preserve">participants </w:t>
      </w:r>
      <w:r w:rsidR="00FD4643" w:rsidRPr="007D4DA9">
        <w:t>fulfilling Program roles have</w:t>
      </w:r>
      <w:r w:rsidRPr="007D4DA9">
        <w:t xml:space="preserve"> obtain</w:t>
      </w:r>
      <w:r w:rsidR="00FD4643" w:rsidRPr="007D4DA9">
        <w:t>ed</w:t>
      </w:r>
      <w:r>
        <w:t xml:space="preserve"> a sufficient level of competence for their </w:t>
      </w:r>
      <w:r w:rsidR="00044B81" w:rsidRPr="009D2FD3">
        <w:t>respective</w:t>
      </w:r>
      <w:r>
        <w:t xml:space="preserve"> roles and responsibilities. </w:t>
      </w:r>
    </w:p>
    <w:p w:rsidR="0094547D" w:rsidRDefault="0094547D" w:rsidP="00C25D64">
      <w:pPr>
        <w:ind w:left="720"/>
      </w:pPr>
    </w:p>
    <w:p w:rsidR="008A37C6" w:rsidRDefault="008A37C6">
      <w:pPr>
        <w:spacing w:after="200" w:line="276" w:lineRule="auto"/>
        <w:jc w:val="left"/>
      </w:pPr>
      <w:r>
        <w:br w:type="page"/>
      </w:r>
    </w:p>
    <w:p w:rsidR="00880698" w:rsidRDefault="00880698" w:rsidP="00C25D64">
      <w:pPr>
        <w:ind w:left="720"/>
      </w:pPr>
    </w:p>
    <w:p w:rsidR="0094547D" w:rsidRPr="000C2C43" w:rsidRDefault="0094547D" w:rsidP="000C2C43">
      <w:pPr>
        <w:rPr>
          <w:b/>
          <w:sz w:val="28"/>
        </w:rPr>
      </w:pPr>
      <w:r>
        <w:rPr>
          <w:b/>
          <w:sz w:val="28"/>
        </w:rPr>
        <w:t xml:space="preserve"> </w:t>
      </w:r>
      <w:r w:rsidRPr="006A41CD">
        <w:rPr>
          <w:b/>
          <w:sz w:val="24"/>
        </w:rPr>
        <w:t xml:space="preserve">1.3 </w:t>
      </w:r>
      <w:r w:rsidRPr="006A41CD">
        <w:rPr>
          <w:b/>
          <w:sz w:val="24"/>
        </w:rPr>
        <w:tab/>
        <w:t>Awareness</w:t>
      </w:r>
    </w:p>
    <w:p w:rsidR="000C2C43" w:rsidRPr="000C2C43" w:rsidRDefault="000C2C43" w:rsidP="000C2C43">
      <w:pPr>
        <w:ind w:left="720"/>
        <w:rPr>
          <w:b/>
        </w:rPr>
      </w:pPr>
      <w:r w:rsidRPr="000C2C43">
        <w:rPr>
          <w:b/>
        </w:rPr>
        <w:t xml:space="preserve">The organization shall ensure that </w:t>
      </w:r>
      <w:r w:rsidR="00FD4643" w:rsidRPr="003F4FCF">
        <w:rPr>
          <w:b/>
        </w:rPr>
        <w:t>Program participants</w:t>
      </w:r>
      <w:r w:rsidRPr="000C2C43">
        <w:rPr>
          <w:b/>
        </w:rPr>
        <w:t xml:space="preserve"> are aware of:</w:t>
      </w:r>
    </w:p>
    <w:p w:rsidR="000C2C43" w:rsidRPr="000C2C43" w:rsidRDefault="000C2C43" w:rsidP="000C2C43">
      <w:pPr>
        <w:pStyle w:val="ListParagraph"/>
        <w:numPr>
          <w:ilvl w:val="0"/>
          <w:numId w:val="34"/>
        </w:numPr>
        <w:rPr>
          <w:b/>
        </w:rPr>
      </w:pPr>
      <w:r w:rsidRPr="000C2C43">
        <w:rPr>
          <w:b/>
        </w:rPr>
        <w:t>The Open Source policy;</w:t>
      </w:r>
    </w:p>
    <w:p w:rsidR="000C2C43" w:rsidRPr="000C2C43" w:rsidRDefault="000C2C43" w:rsidP="000C2C43">
      <w:pPr>
        <w:pStyle w:val="ListParagraph"/>
        <w:numPr>
          <w:ilvl w:val="0"/>
          <w:numId w:val="34"/>
        </w:numPr>
        <w:rPr>
          <w:b/>
        </w:rPr>
      </w:pPr>
      <w:r w:rsidRPr="000C2C43">
        <w:rPr>
          <w:b/>
        </w:rPr>
        <w:t xml:space="preserve">Relevant </w:t>
      </w:r>
      <w:r>
        <w:rPr>
          <w:b/>
        </w:rPr>
        <w:t>Open Source</w:t>
      </w:r>
      <w:r w:rsidRPr="000C2C43">
        <w:rPr>
          <w:b/>
        </w:rPr>
        <w:t xml:space="preserve"> objectives; </w:t>
      </w:r>
    </w:p>
    <w:p w:rsidR="000C2C43" w:rsidRPr="000C2C43" w:rsidRDefault="000C2C43" w:rsidP="000C2C43">
      <w:pPr>
        <w:pStyle w:val="ListParagraph"/>
        <w:numPr>
          <w:ilvl w:val="0"/>
          <w:numId w:val="34"/>
        </w:numPr>
        <w:rPr>
          <w:b/>
        </w:rPr>
      </w:pPr>
      <w:r w:rsidRPr="000C2C43">
        <w:rPr>
          <w:b/>
        </w:rPr>
        <w:t xml:space="preserve">Their contribution to the effectiveness of </w:t>
      </w:r>
      <w:r w:rsidRPr="003F4FCF">
        <w:rPr>
          <w:b/>
        </w:rPr>
        <w:t xml:space="preserve">the </w:t>
      </w:r>
      <w:r w:rsidR="00035B29" w:rsidRPr="003F4FCF">
        <w:rPr>
          <w:b/>
        </w:rPr>
        <w:t>Program</w:t>
      </w:r>
      <w:r w:rsidRPr="000C2C43">
        <w:rPr>
          <w:b/>
        </w:rPr>
        <w:t>;</w:t>
      </w:r>
      <w:r w:rsidR="00B875B1">
        <w:rPr>
          <w:b/>
        </w:rPr>
        <w:t xml:space="preserve"> </w:t>
      </w:r>
      <w:r w:rsidR="00B875B1" w:rsidRPr="005E2228">
        <w:rPr>
          <w:b/>
        </w:rPr>
        <w:t>and</w:t>
      </w:r>
    </w:p>
    <w:p w:rsidR="00CB3A98" w:rsidRPr="000C2C43" w:rsidRDefault="000C2C43" w:rsidP="000C2C43">
      <w:pPr>
        <w:pStyle w:val="ListParagraph"/>
        <w:numPr>
          <w:ilvl w:val="0"/>
          <w:numId w:val="34"/>
        </w:numPr>
        <w:rPr>
          <w:b/>
        </w:rPr>
      </w:pPr>
      <w:r w:rsidRPr="000C2C43">
        <w:rPr>
          <w:b/>
        </w:rPr>
        <w:t xml:space="preserve">The implications of not </w:t>
      </w:r>
      <w:r w:rsidR="00035B29" w:rsidRPr="003F4FCF">
        <w:rPr>
          <w:b/>
        </w:rPr>
        <w:t>following</w:t>
      </w:r>
      <w:r w:rsidRPr="003F4FCF">
        <w:rPr>
          <w:b/>
        </w:rPr>
        <w:t xml:space="preserve"> the </w:t>
      </w:r>
      <w:r w:rsidR="00035B29" w:rsidRPr="003F4FCF">
        <w:rPr>
          <w:b/>
        </w:rPr>
        <w:t>P</w:t>
      </w:r>
      <w:r w:rsidRPr="003F4FCF">
        <w:rPr>
          <w:b/>
        </w:rPr>
        <w:t>rogram</w:t>
      </w:r>
      <w:r w:rsidR="00035B29" w:rsidRPr="003F4FCF">
        <w:rPr>
          <w:b/>
        </w:rPr>
        <w:t>’s</w:t>
      </w:r>
      <w:r w:rsidRPr="003F4FCF">
        <w:rPr>
          <w:b/>
        </w:rPr>
        <w:t xml:space="preserve"> requirements</w:t>
      </w:r>
      <w:r w:rsidRPr="000C2C43">
        <w:rPr>
          <w:b/>
        </w:rPr>
        <w:t>.</w:t>
      </w:r>
    </w:p>
    <w:p w:rsidR="00CB3A98" w:rsidRPr="002D68F3" w:rsidRDefault="00CB3A98" w:rsidP="00CB3A98">
      <w:pPr>
        <w:ind w:left="720" w:hanging="720"/>
        <w:rPr>
          <w:b/>
          <w:highlight w:val="yellow"/>
        </w:rPr>
      </w:pPr>
    </w:p>
    <w:p w:rsidR="00CB3A98" w:rsidRPr="0043796C" w:rsidRDefault="00CB3A98" w:rsidP="00CB3A98">
      <w:pPr>
        <w:ind w:left="720"/>
      </w:pPr>
      <w:r w:rsidRPr="0043796C">
        <w:rPr>
          <w:b/>
        </w:rPr>
        <w:t xml:space="preserve">Verification </w:t>
      </w:r>
      <w:r>
        <w:rPr>
          <w:b/>
        </w:rPr>
        <w:t>Material</w:t>
      </w:r>
      <w:r w:rsidRPr="0043796C">
        <w:rPr>
          <w:b/>
        </w:rPr>
        <w:t>(s)</w:t>
      </w:r>
      <w:r w:rsidRPr="0043796C">
        <w:t>:</w:t>
      </w:r>
    </w:p>
    <w:p w:rsidR="00CB3A98" w:rsidRPr="007D4DA9" w:rsidRDefault="00CB3A98" w:rsidP="00CB3A98">
      <w:pPr>
        <w:pStyle w:val="ListParagraph"/>
        <w:numPr>
          <w:ilvl w:val="0"/>
          <w:numId w:val="1"/>
        </w:numPr>
      </w:pPr>
      <w:r w:rsidRPr="007D4DA9">
        <w:t>1.3.1</w:t>
      </w:r>
      <w:r w:rsidR="000C2C43" w:rsidRPr="007D4DA9">
        <w:t xml:space="preserve"> Documented evidence of assessed awareness for each </w:t>
      </w:r>
      <w:r w:rsidR="00B902F0" w:rsidRPr="007D4DA9">
        <w:t>Program</w:t>
      </w:r>
      <w:r w:rsidR="000C2C43" w:rsidRPr="007D4DA9">
        <w:t xml:space="preserve"> </w:t>
      </w:r>
      <w:r w:rsidR="00B902F0" w:rsidRPr="007D4DA9">
        <w:t>personnel</w:t>
      </w:r>
      <w:r w:rsidR="000C2C43" w:rsidRPr="007D4DA9">
        <w:t xml:space="preserve"> including </w:t>
      </w:r>
      <w:r w:rsidR="00035B29" w:rsidRPr="007D4DA9">
        <w:t>the Program’s</w:t>
      </w:r>
      <w:r w:rsidR="001951BE" w:rsidRPr="007D4DA9">
        <w:t xml:space="preserve"> objectives, ones contribution within the </w:t>
      </w:r>
      <w:r w:rsidR="00035B29" w:rsidRPr="007D4DA9">
        <w:t>P</w:t>
      </w:r>
      <w:r w:rsidR="001951BE" w:rsidRPr="007D4DA9">
        <w:t>rogram</w:t>
      </w:r>
      <w:r w:rsidR="003F4FCF" w:rsidRPr="007D4DA9">
        <w:t>,</w:t>
      </w:r>
      <w:r w:rsidR="001951BE" w:rsidRPr="007D4DA9">
        <w:t xml:space="preserve"> and </w:t>
      </w:r>
      <w:r w:rsidR="000C2C43" w:rsidRPr="007D4DA9">
        <w:t xml:space="preserve">implications of </w:t>
      </w:r>
      <w:r w:rsidR="00035B29" w:rsidRPr="007D4DA9">
        <w:t xml:space="preserve">Program </w:t>
      </w:r>
      <w:r w:rsidR="000C2C43" w:rsidRPr="007D4DA9">
        <w:t>non-</w:t>
      </w:r>
      <w:r w:rsidR="00F42324" w:rsidRPr="007D4DA9">
        <w:t>conformance</w:t>
      </w:r>
      <w:r w:rsidRPr="007D4DA9">
        <w:t>.</w:t>
      </w:r>
    </w:p>
    <w:p w:rsidR="00CB3A98" w:rsidRPr="0043796C" w:rsidRDefault="00CB3A98" w:rsidP="00CB3A98">
      <w:pPr>
        <w:ind w:left="720"/>
        <w:rPr>
          <w:b/>
        </w:rPr>
      </w:pPr>
    </w:p>
    <w:p w:rsidR="00CB3A98" w:rsidRPr="0043796C" w:rsidRDefault="00CB3A98" w:rsidP="00CB3A98">
      <w:pPr>
        <w:ind w:left="720"/>
      </w:pPr>
      <w:r w:rsidRPr="0043796C">
        <w:rPr>
          <w:b/>
        </w:rPr>
        <w:t>Rationale</w:t>
      </w:r>
      <w:r w:rsidRPr="0043796C">
        <w:t>:</w:t>
      </w:r>
    </w:p>
    <w:p w:rsidR="00CB3A98" w:rsidRDefault="000C2C43" w:rsidP="00CB3A98">
      <w:pPr>
        <w:ind w:left="720"/>
      </w:pPr>
      <w:r>
        <w:t xml:space="preserve">To ensure </w:t>
      </w:r>
      <w:r w:rsidR="00B902F0" w:rsidRPr="003F4FCF">
        <w:t>Program</w:t>
      </w:r>
      <w:r w:rsidRPr="003F4FCF">
        <w:t xml:space="preserve"> </w:t>
      </w:r>
      <w:r w:rsidR="00B902F0" w:rsidRPr="003F4FCF">
        <w:t>personnel</w:t>
      </w:r>
      <w:r>
        <w:t xml:space="preserve"> have obtain</w:t>
      </w:r>
      <w:r w:rsidR="008C32A6" w:rsidRPr="007D4DA9">
        <w:t>ed</w:t>
      </w:r>
      <w:r>
        <w:t xml:space="preserve"> a sufficient level of awareness for their </w:t>
      </w:r>
      <w:r w:rsidR="00044B81" w:rsidRPr="009D2FD3">
        <w:t>respective</w:t>
      </w:r>
      <w:r>
        <w:t xml:space="preserve"> roles and responsibilities</w:t>
      </w:r>
      <w:r w:rsidR="001951BE">
        <w:t xml:space="preserve"> within </w:t>
      </w:r>
      <w:r w:rsidR="001951BE" w:rsidRPr="007D4DA9">
        <w:t xml:space="preserve">the </w:t>
      </w:r>
      <w:r w:rsidR="00B902F0" w:rsidRPr="007D4DA9">
        <w:t>Program</w:t>
      </w:r>
      <w:r w:rsidR="00CB3A98" w:rsidRPr="0043796C">
        <w:t>.</w:t>
      </w:r>
    </w:p>
    <w:p w:rsidR="00F42324" w:rsidRDefault="00F42324" w:rsidP="00CB3A98">
      <w:pPr>
        <w:ind w:left="720"/>
      </w:pPr>
    </w:p>
    <w:p w:rsidR="00880698" w:rsidRDefault="00880698" w:rsidP="00CB3A98">
      <w:pPr>
        <w:ind w:left="720"/>
      </w:pPr>
    </w:p>
    <w:p w:rsidR="00F42324" w:rsidRPr="007D4DA9" w:rsidRDefault="00F42324" w:rsidP="00F42324">
      <w:pPr>
        <w:rPr>
          <w:b/>
          <w:sz w:val="28"/>
        </w:rPr>
      </w:pPr>
      <w:r w:rsidRPr="006A41CD">
        <w:rPr>
          <w:b/>
          <w:sz w:val="24"/>
        </w:rPr>
        <w:t>1.4</w:t>
      </w:r>
      <w:r w:rsidRPr="006A41CD">
        <w:rPr>
          <w:b/>
          <w:sz w:val="24"/>
        </w:rPr>
        <w:tab/>
      </w:r>
      <w:r w:rsidRPr="007D4DA9">
        <w:rPr>
          <w:b/>
          <w:sz w:val="24"/>
        </w:rPr>
        <w:t>Program Scope</w:t>
      </w:r>
    </w:p>
    <w:p w:rsidR="00F42324" w:rsidRPr="007D4DA9" w:rsidRDefault="004E118C" w:rsidP="00F42324">
      <w:pPr>
        <w:ind w:left="720"/>
        <w:rPr>
          <w:b/>
        </w:rPr>
      </w:pPr>
      <w:r w:rsidRPr="007D4DA9">
        <w:rPr>
          <w:b/>
        </w:rPr>
        <w:t xml:space="preserve">Different </w:t>
      </w:r>
      <w:r w:rsidR="00886BB8" w:rsidRPr="007D4DA9">
        <w:rPr>
          <w:b/>
        </w:rPr>
        <w:t>Programs</w:t>
      </w:r>
      <w:r w:rsidR="00F42324" w:rsidRPr="007D4DA9">
        <w:rPr>
          <w:b/>
        </w:rPr>
        <w:t xml:space="preserve"> </w:t>
      </w:r>
      <w:r w:rsidRPr="007D4DA9">
        <w:rPr>
          <w:b/>
        </w:rPr>
        <w:t>may</w:t>
      </w:r>
      <w:r w:rsidR="00F42324" w:rsidRPr="007D4DA9">
        <w:rPr>
          <w:b/>
        </w:rPr>
        <w:t xml:space="preserve"> </w:t>
      </w:r>
      <w:r w:rsidR="002C7ECA" w:rsidRPr="007D4DA9">
        <w:rPr>
          <w:b/>
        </w:rPr>
        <w:t xml:space="preserve">be </w:t>
      </w:r>
      <w:r w:rsidR="00F42324" w:rsidRPr="007D4DA9">
        <w:rPr>
          <w:b/>
        </w:rPr>
        <w:t>govern</w:t>
      </w:r>
      <w:r w:rsidR="002C7ECA" w:rsidRPr="007D4DA9">
        <w:rPr>
          <w:b/>
        </w:rPr>
        <w:t>ed by</w:t>
      </w:r>
      <w:r w:rsidR="00F42324" w:rsidRPr="007D4DA9">
        <w:rPr>
          <w:b/>
        </w:rPr>
        <w:t xml:space="preserve"> </w:t>
      </w:r>
      <w:r w:rsidR="00EC2615" w:rsidRPr="007D4DA9">
        <w:rPr>
          <w:b/>
        </w:rPr>
        <w:t>different levels of scope</w:t>
      </w:r>
      <w:r w:rsidR="00F42324" w:rsidRPr="007D4DA9">
        <w:rPr>
          <w:b/>
        </w:rPr>
        <w:t>.</w:t>
      </w:r>
      <w:r w:rsidR="00EC2615" w:rsidRPr="007D4DA9">
        <w:rPr>
          <w:b/>
        </w:rPr>
        <w:t xml:space="preserve"> For example, a program could govern a single product line, an entire department or an entire organization. The scope designation needs to be declared for each</w:t>
      </w:r>
      <w:r w:rsidR="00886BB8" w:rsidRPr="007D4DA9">
        <w:rPr>
          <w:b/>
        </w:rPr>
        <w:t xml:space="preserve"> Program</w:t>
      </w:r>
      <w:r w:rsidR="00EC2615" w:rsidRPr="007D4DA9">
        <w:rPr>
          <w:b/>
        </w:rPr>
        <w:t xml:space="preserve">. </w:t>
      </w:r>
    </w:p>
    <w:p w:rsidR="00F42324" w:rsidRPr="007D4DA9" w:rsidRDefault="00F42324" w:rsidP="00F42324">
      <w:pPr>
        <w:ind w:left="720" w:hanging="720"/>
        <w:rPr>
          <w:b/>
        </w:rPr>
      </w:pPr>
    </w:p>
    <w:p w:rsidR="00EC2615" w:rsidRPr="007D4DA9" w:rsidRDefault="00EC2615" w:rsidP="00EC2615">
      <w:pPr>
        <w:ind w:left="720"/>
      </w:pPr>
      <w:r w:rsidRPr="007D4DA9">
        <w:rPr>
          <w:b/>
        </w:rPr>
        <w:t>Verification Material(s)</w:t>
      </w:r>
      <w:r w:rsidRPr="007D4DA9">
        <w:t>:</w:t>
      </w:r>
    </w:p>
    <w:p w:rsidR="00EC2615" w:rsidRPr="007D4DA9" w:rsidRDefault="00EC2615" w:rsidP="00EC2615">
      <w:pPr>
        <w:pStyle w:val="ListParagraph"/>
        <w:numPr>
          <w:ilvl w:val="0"/>
          <w:numId w:val="1"/>
        </w:numPr>
      </w:pPr>
      <w:r w:rsidRPr="007D4DA9">
        <w:t xml:space="preserve">1.4.1 A written statement that clearly defines the scope </w:t>
      </w:r>
      <w:r w:rsidR="00181179" w:rsidRPr="007D4DA9">
        <w:t xml:space="preserve">and limits </w:t>
      </w:r>
      <w:r w:rsidRPr="007D4DA9">
        <w:t xml:space="preserve">of the </w:t>
      </w:r>
      <w:r w:rsidR="00F46D9C" w:rsidRPr="007D4DA9">
        <w:t>Program</w:t>
      </w:r>
      <w:r w:rsidRPr="007D4DA9">
        <w:t>.</w:t>
      </w:r>
    </w:p>
    <w:p w:rsidR="00F42324" w:rsidRPr="007D4DA9" w:rsidRDefault="00F42324" w:rsidP="00F42324">
      <w:pPr>
        <w:ind w:left="720"/>
      </w:pPr>
    </w:p>
    <w:p w:rsidR="00EC2615" w:rsidRPr="007D4DA9" w:rsidRDefault="00EC2615" w:rsidP="00EC2615">
      <w:pPr>
        <w:ind w:left="720"/>
      </w:pPr>
      <w:r w:rsidRPr="007D4DA9">
        <w:rPr>
          <w:b/>
        </w:rPr>
        <w:t>Rationale</w:t>
      </w:r>
      <w:r w:rsidRPr="007D4DA9">
        <w:t>:</w:t>
      </w:r>
    </w:p>
    <w:p w:rsidR="00EC2615" w:rsidRPr="0043796C" w:rsidRDefault="001951BE" w:rsidP="00EC2615">
      <w:pPr>
        <w:ind w:left="720"/>
      </w:pPr>
      <w:r w:rsidRPr="007D4DA9">
        <w:t>To p</w:t>
      </w:r>
      <w:r w:rsidR="00EC2615" w:rsidRPr="007D4DA9">
        <w:t xml:space="preserve">rovide the flexibility to construct a </w:t>
      </w:r>
      <w:r w:rsidR="00886BB8" w:rsidRPr="007D4DA9">
        <w:t>Program</w:t>
      </w:r>
      <w:r w:rsidR="00EC2615" w:rsidRPr="007D4DA9">
        <w:t xml:space="preserve"> that best </w:t>
      </w:r>
      <w:r w:rsidR="009D1CB3" w:rsidRPr="007D4DA9">
        <w:t>fits</w:t>
      </w:r>
      <w:r w:rsidR="00EC2615" w:rsidRPr="007D4DA9">
        <w:t xml:space="preserve"> the </w:t>
      </w:r>
      <w:r w:rsidR="004E118C" w:rsidRPr="007D4DA9">
        <w:t>scope of</w:t>
      </w:r>
      <w:r w:rsidR="00EC2615" w:rsidRPr="007D4DA9">
        <w:t xml:space="preserve"> a</w:t>
      </w:r>
      <w:r w:rsidR="009D1CB3" w:rsidRPr="007D4DA9">
        <w:t>n</w:t>
      </w:r>
      <w:r w:rsidR="00EC2615" w:rsidRPr="007D4DA9">
        <w:t xml:space="preserve"> organization’s needs. Some organizations could choose to maintain a </w:t>
      </w:r>
      <w:r w:rsidR="00886BB8" w:rsidRPr="007D4DA9">
        <w:t>Program</w:t>
      </w:r>
      <w:r w:rsidR="00EC2615" w:rsidRPr="007D4DA9">
        <w:t xml:space="preserve"> for a specific product line while others could </w:t>
      </w:r>
      <w:r w:rsidR="00886BB8" w:rsidRPr="007D4DA9">
        <w:t>implement</w:t>
      </w:r>
      <w:r w:rsidR="00EC2615" w:rsidRPr="007D4DA9">
        <w:t xml:space="preserve"> </w:t>
      </w:r>
      <w:r w:rsidR="00886BB8" w:rsidRPr="007D4DA9">
        <w:t>a</w:t>
      </w:r>
      <w:r w:rsidR="004E118C" w:rsidRPr="007D4DA9">
        <w:t xml:space="preserve"> </w:t>
      </w:r>
      <w:r w:rsidR="00886BB8" w:rsidRPr="007D4DA9">
        <w:t>P</w:t>
      </w:r>
      <w:r w:rsidR="004E118C" w:rsidRPr="007D4DA9">
        <w:t xml:space="preserve">rogram </w:t>
      </w:r>
      <w:r w:rsidR="00EC2615" w:rsidRPr="007D4DA9">
        <w:t>to govern</w:t>
      </w:r>
      <w:r w:rsidR="004E118C" w:rsidRPr="007D4DA9">
        <w:t xml:space="preserve"> </w:t>
      </w:r>
      <w:r w:rsidR="00886BB8" w:rsidRPr="007D4DA9">
        <w:t xml:space="preserve">the Supplied Software of </w:t>
      </w:r>
      <w:r w:rsidR="004E118C" w:rsidRPr="007D4DA9">
        <w:t>the entire organization.</w:t>
      </w:r>
      <w:r w:rsidR="004E118C">
        <w:t xml:space="preserve"> </w:t>
      </w:r>
    </w:p>
    <w:p w:rsidR="00F42324" w:rsidRPr="00661E9D" w:rsidRDefault="00F42324" w:rsidP="00F42324"/>
    <w:p w:rsidR="004F7F19" w:rsidRPr="00661E9D" w:rsidRDefault="004F7F19" w:rsidP="00AE6EB4">
      <w:pPr>
        <w:ind w:left="720"/>
      </w:pPr>
    </w:p>
    <w:p w:rsidR="000C2C43" w:rsidRPr="000C2C43" w:rsidRDefault="00691930" w:rsidP="000C2C43">
      <w:pPr>
        <w:rPr>
          <w:b/>
          <w:sz w:val="28"/>
        </w:rPr>
      </w:pPr>
      <w:r w:rsidRPr="003A31F4">
        <w:rPr>
          <w:b/>
          <w:sz w:val="24"/>
        </w:rPr>
        <w:t>1.</w:t>
      </w:r>
      <w:r w:rsidR="00EC2615" w:rsidRPr="003A31F4">
        <w:rPr>
          <w:b/>
          <w:sz w:val="24"/>
        </w:rPr>
        <w:t>5</w:t>
      </w:r>
      <w:r w:rsidRPr="003A31F4">
        <w:rPr>
          <w:b/>
          <w:sz w:val="24"/>
        </w:rPr>
        <w:tab/>
      </w:r>
      <w:r w:rsidR="000C2C43" w:rsidRPr="003A31F4">
        <w:rPr>
          <w:b/>
          <w:sz w:val="24"/>
        </w:rPr>
        <w:t>License Obligations</w:t>
      </w:r>
    </w:p>
    <w:p w:rsidR="004F7F19" w:rsidRPr="00691930" w:rsidRDefault="004F7F19" w:rsidP="000C2C43">
      <w:pPr>
        <w:ind w:left="720"/>
        <w:rPr>
          <w:b/>
        </w:rPr>
      </w:pPr>
      <w:r w:rsidRPr="00691930">
        <w:rPr>
          <w:b/>
        </w:rPr>
        <w:t xml:space="preserve">A process exists for reviewing </w:t>
      </w:r>
      <w:r w:rsidR="00905081" w:rsidRPr="00691930">
        <w:rPr>
          <w:b/>
        </w:rPr>
        <w:t xml:space="preserve">the </w:t>
      </w:r>
      <w:r w:rsidRPr="00691930">
        <w:rPr>
          <w:b/>
        </w:rPr>
        <w:t xml:space="preserve">Identified Licenses to determine the obligations, restrictions and rights granted by </w:t>
      </w:r>
      <w:r w:rsidR="003478CB" w:rsidRPr="00691930">
        <w:rPr>
          <w:b/>
        </w:rPr>
        <w:t>each</w:t>
      </w:r>
      <w:r w:rsidRPr="00691930">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t xml:space="preserve">Verification </w:t>
      </w:r>
      <w:r w:rsidR="003B01F1">
        <w:rPr>
          <w:b/>
        </w:rPr>
        <w:t>Material</w:t>
      </w:r>
      <w:r w:rsidRPr="0043796C">
        <w:rPr>
          <w:b/>
        </w:rPr>
        <w:t>(s)</w:t>
      </w:r>
      <w:r w:rsidRPr="0043796C">
        <w:t>:</w:t>
      </w:r>
    </w:p>
    <w:p w:rsidR="004F7F19" w:rsidRPr="0043796C" w:rsidRDefault="004F7F19" w:rsidP="004F7F19">
      <w:pPr>
        <w:pStyle w:val="ListParagraph"/>
        <w:numPr>
          <w:ilvl w:val="0"/>
          <w:numId w:val="1"/>
        </w:numPr>
      </w:pPr>
      <w:r w:rsidRPr="0043796C">
        <w:t>1.</w:t>
      </w:r>
      <w:r w:rsidR="00035B29">
        <w:t>5</w:t>
      </w:r>
      <w:r w:rsidRPr="0043796C">
        <w:t>.1 A documented procedure to review and document the obligations, restrictions and rights granted by each Identified License.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7D4DA9">
        <w:t xml:space="preserve">To ensure a </w:t>
      </w:r>
      <w:r w:rsidR="00A5473F" w:rsidRPr="007D4DA9">
        <w:t>process</w:t>
      </w:r>
      <w:r w:rsidRPr="007D4DA9">
        <w:t xml:space="preserve"> exists for reviewing and identifying the license obligations for each Identified License </w:t>
      </w:r>
      <w:r w:rsidR="002D68F3" w:rsidRPr="007D4DA9">
        <w:t xml:space="preserve">for the </w:t>
      </w:r>
      <w:r w:rsidR="00905081" w:rsidRPr="007D4DA9">
        <w:t>various</w:t>
      </w:r>
      <w:r w:rsidRPr="007D4DA9">
        <w:t xml:space="preserve"> use case</w:t>
      </w:r>
      <w:r w:rsidR="002D68F3" w:rsidRPr="007D4DA9">
        <w:t>s</w:t>
      </w:r>
      <w:r w:rsidR="004E3752" w:rsidRPr="007D4DA9">
        <w:t xml:space="preserve"> an organization may encounter</w:t>
      </w:r>
      <w:r w:rsidR="0003011B" w:rsidRPr="007D4DA9">
        <w:t xml:space="preserve"> (as </w:t>
      </w:r>
      <w:r w:rsidR="002F2EBD" w:rsidRPr="007D4DA9">
        <w:t>defined</w:t>
      </w:r>
      <w:r w:rsidR="0003011B" w:rsidRPr="007D4DA9">
        <w:t xml:space="preserve"> in requirement 3.2)</w:t>
      </w:r>
      <w:r w:rsidR="0043796C" w:rsidRPr="007D4DA9">
        <w:t>.</w:t>
      </w:r>
    </w:p>
    <w:p w:rsidR="004F7F19" w:rsidRDefault="004F7F19">
      <w:r>
        <w:br w:type="page"/>
      </w:r>
    </w:p>
    <w:p w:rsidR="00231D2F" w:rsidRDefault="009C42B2" w:rsidP="004C1567">
      <w:pPr>
        <w:pStyle w:val="Heading2"/>
      </w:pPr>
      <w:bookmarkStart w:id="9" w:name="_Toc457078799"/>
      <w:bookmarkStart w:id="10" w:name="_Toc5054411"/>
      <w:r>
        <w:lastRenderedPageBreak/>
        <w:t>2.0</w:t>
      </w:r>
      <w:r w:rsidR="00E0356E" w:rsidRPr="00661E9D">
        <w:t xml:space="preserve"> </w:t>
      </w:r>
      <w:r w:rsidR="00357C8C">
        <w:t>Relevant</w:t>
      </w:r>
      <w:r w:rsidR="000A62E3">
        <w:t xml:space="preserve"> Tasks Defined and Supported</w:t>
      </w:r>
      <w:bookmarkEnd w:id="9"/>
      <w:bookmarkEnd w:id="10"/>
    </w:p>
    <w:p w:rsidR="00D749A7" w:rsidRDefault="00F66FD9" w:rsidP="00344C00">
      <w:pPr>
        <w:ind w:left="720" w:hanging="720"/>
        <w:rPr>
          <w:b/>
          <w:bCs/>
        </w:rPr>
      </w:pPr>
      <w:r w:rsidRPr="0074245B">
        <w:rPr>
          <w:b/>
          <w:bCs/>
          <w:sz w:val="24"/>
        </w:rPr>
        <w:t xml:space="preserve">2.1 </w:t>
      </w:r>
      <w:r w:rsidRPr="0074245B">
        <w:rPr>
          <w:b/>
          <w:bCs/>
          <w:sz w:val="24"/>
        </w:rPr>
        <w:tab/>
      </w:r>
      <w:r w:rsidR="00D749A7" w:rsidRPr="0074245B">
        <w:rPr>
          <w:b/>
          <w:bCs/>
          <w:sz w:val="24"/>
        </w:rPr>
        <w:t>Access</w:t>
      </w:r>
    </w:p>
    <w:p w:rsidR="004C1567" w:rsidRPr="00344C00" w:rsidRDefault="00F66FD9" w:rsidP="00D749A7">
      <w:pPr>
        <w:ind w:left="720"/>
        <w:rPr>
          <w:b/>
          <w:bCs/>
        </w:rPr>
      </w:pPr>
      <w:r w:rsidRPr="00D749A7">
        <w:rPr>
          <w:b/>
          <w:bCs/>
        </w:rPr>
        <w:t xml:space="preserve">Maintain </w:t>
      </w:r>
      <w:r w:rsidR="00344C00" w:rsidRPr="00D749A7">
        <w:rPr>
          <w:b/>
          <w:bCs/>
        </w:rPr>
        <w:t xml:space="preserve">a </w:t>
      </w:r>
      <w:r w:rsidRPr="00D749A7">
        <w:rPr>
          <w:b/>
          <w:bCs/>
        </w:rPr>
        <w:t xml:space="preserve">process </w:t>
      </w:r>
      <w:r w:rsidR="009C42B2" w:rsidRPr="00D749A7">
        <w:rPr>
          <w:b/>
          <w:bCs/>
        </w:rPr>
        <w:t xml:space="preserve">to effectively respond to </w:t>
      </w:r>
      <w:r w:rsidRPr="00D749A7">
        <w:rPr>
          <w:b/>
          <w:bCs/>
        </w:rPr>
        <w:t>external Open Source inquiries</w:t>
      </w:r>
      <w:r w:rsidR="009C42B2" w:rsidRPr="00D749A7">
        <w:rPr>
          <w:b/>
          <w:bCs/>
        </w:rPr>
        <w:t xml:space="preserve">. </w:t>
      </w:r>
      <w:r w:rsidRPr="00D749A7">
        <w:rPr>
          <w:b/>
          <w:bCs/>
        </w:rPr>
        <w:t xml:space="preserve">Publicly identify a means by which </w:t>
      </w:r>
      <w:r w:rsidR="00344C00" w:rsidRPr="00D749A7">
        <w:rPr>
          <w:b/>
          <w:bCs/>
        </w:rPr>
        <w:t xml:space="preserve">a </w:t>
      </w:r>
      <w:r w:rsidR="009C42B2" w:rsidRPr="00D749A7">
        <w:rPr>
          <w:b/>
          <w:bCs/>
        </w:rPr>
        <w:t>third party can make an Open Source compliance inquiry</w:t>
      </w:r>
      <w:r w:rsidRPr="00D749A7">
        <w:rPr>
          <w:b/>
          <w:bCs/>
        </w:rPr>
        <w:t>.</w:t>
      </w:r>
    </w:p>
    <w:p w:rsidR="00153AD1" w:rsidRPr="00344C00" w:rsidRDefault="00153AD1" w:rsidP="00BC6D14">
      <w:pPr>
        <w:ind w:left="720"/>
        <w:rPr>
          <w:b/>
          <w:bCs/>
        </w:rPr>
      </w:pPr>
    </w:p>
    <w:p w:rsidR="00153AD1" w:rsidRPr="007D4DA9" w:rsidRDefault="00153AD1" w:rsidP="00153AD1">
      <w:pPr>
        <w:ind w:left="720"/>
      </w:pPr>
      <w:r w:rsidRPr="007D4DA9">
        <w:rPr>
          <w:b/>
        </w:rPr>
        <w:t xml:space="preserve">Verification </w:t>
      </w:r>
      <w:r w:rsidR="003B01F1" w:rsidRPr="007D4DA9">
        <w:rPr>
          <w:b/>
        </w:rPr>
        <w:t>Material</w:t>
      </w:r>
      <w:r w:rsidR="004E7008" w:rsidRPr="007D4DA9">
        <w:rPr>
          <w:b/>
        </w:rPr>
        <w:t>(s)</w:t>
      </w:r>
      <w:r w:rsidRPr="007D4DA9">
        <w:t>:</w:t>
      </w:r>
    </w:p>
    <w:p w:rsidR="00153AD1" w:rsidRPr="007D4DA9" w:rsidRDefault="001511D0" w:rsidP="001D131D">
      <w:pPr>
        <w:pStyle w:val="ListParagraph"/>
        <w:numPr>
          <w:ilvl w:val="0"/>
          <w:numId w:val="9"/>
        </w:numPr>
      </w:pPr>
      <w:r w:rsidRPr="007D4DA9">
        <w:t>2.1</w:t>
      </w:r>
      <w:r w:rsidR="00443BD6" w:rsidRPr="007D4DA9">
        <w:t>.1</w:t>
      </w:r>
      <w:r w:rsidR="00153AD1" w:rsidRPr="007D4DA9">
        <w:t xml:space="preserve"> </w:t>
      </w:r>
      <w:r w:rsidR="001D131D" w:rsidRPr="007D4DA9">
        <w:t xml:space="preserve">Publicly visible </w:t>
      </w:r>
      <w:r w:rsidR="00344C00" w:rsidRPr="007D4DA9">
        <w:t xml:space="preserve">method </w:t>
      </w:r>
      <w:r w:rsidR="0060114C" w:rsidRPr="007D4DA9">
        <w:t xml:space="preserve">that allows </w:t>
      </w:r>
      <w:r w:rsidR="00344C00" w:rsidRPr="007D4DA9">
        <w:t xml:space="preserve">any third party </w:t>
      </w:r>
      <w:r w:rsidR="0060114C" w:rsidRPr="007D4DA9">
        <w:t xml:space="preserve">to </w:t>
      </w:r>
      <w:r w:rsidR="00344C00" w:rsidRPr="007D4DA9">
        <w:rPr>
          <w:bCs/>
        </w:rPr>
        <w:t xml:space="preserve">make an Open Source </w:t>
      </w:r>
      <w:r w:rsidR="00B902F0" w:rsidRPr="007D4DA9">
        <w:rPr>
          <w:bCs/>
        </w:rPr>
        <w:t xml:space="preserve">license </w:t>
      </w:r>
      <w:r w:rsidR="00344C00" w:rsidRPr="007D4DA9">
        <w:rPr>
          <w:bCs/>
        </w:rPr>
        <w:t>compliance inquiry</w:t>
      </w:r>
      <w:r w:rsidR="00344C00" w:rsidRPr="007D4DA9">
        <w:t xml:space="preserve"> </w:t>
      </w:r>
      <w:r w:rsidRPr="007D4DA9">
        <w:t>(</w:t>
      </w:r>
      <w:r w:rsidR="00A21FB4" w:rsidRPr="007D4DA9">
        <w:rPr>
          <w:i/>
        </w:rPr>
        <w:t>e.g.</w:t>
      </w:r>
      <w:r w:rsidR="00A21FB4" w:rsidRPr="007D4DA9">
        <w:t xml:space="preserve">, </w:t>
      </w:r>
      <w:r w:rsidR="008B7C90" w:rsidRPr="007D4DA9">
        <w:rPr>
          <w:rFonts w:cs="Arial"/>
          <w:shd w:val="clear" w:color="auto" w:fill="FFFFFF"/>
        </w:rPr>
        <w:t>via a published contact email address, or the Linux Foundation's Open Compliance Directory)</w:t>
      </w:r>
      <w:r w:rsidR="00153AD1" w:rsidRPr="007D4DA9">
        <w:t xml:space="preserve">. </w:t>
      </w:r>
    </w:p>
    <w:p w:rsidR="00153AD1" w:rsidRPr="007D4DA9" w:rsidRDefault="001511D0" w:rsidP="007845F9">
      <w:pPr>
        <w:pStyle w:val="ListParagraph"/>
        <w:numPr>
          <w:ilvl w:val="0"/>
          <w:numId w:val="1"/>
        </w:numPr>
      </w:pPr>
      <w:r w:rsidRPr="007D4DA9">
        <w:t>2.1</w:t>
      </w:r>
      <w:r w:rsidR="00443BD6" w:rsidRPr="007D4DA9">
        <w:t>.2</w:t>
      </w:r>
      <w:r w:rsidR="00153AD1" w:rsidRPr="007D4DA9">
        <w:t xml:space="preserve"> </w:t>
      </w:r>
      <w:r w:rsidR="005F09B6" w:rsidRPr="007D4DA9">
        <w:t>A</w:t>
      </w:r>
      <w:r w:rsidR="00B033F6" w:rsidRPr="007D4DA9">
        <w:t>n internal</w:t>
      </w:r>
      <w:r w:rsidR="005F09B6" w:rsidRPr="007D4DA9">
        <w:t xml:space="preserve"> document</w:t>
      </w:r>
      <w:r w:rsidR="00DB58BC" w:rsidRPr="007D4DA9">
        <w:t>ed</w:t>
      </w:r>
      <w:r w:rsidR="005F09B6" w:rsidRPr="007D4DA9">
        <w:t xml:space="preserve"> </w:t>
      </w:r>
      <w:r w:rsidR="000417DC" w:rsidRPr="007D4DA9">
        <w:t xml:space="preserve">procedure </w:t>
      </w:r>
      <w:r w:rsidR="009C42B2" w:rsidRPr="007D4DA9">
        <w:t>for responding to</w:t>
      </w:r>
      <w:r w:rsidRPr="007D4DA9">
        <w:t xml:space="preserve"> </w:t>
      </w:r>
      <w:r w:rsidR="00344C00" w:rsidRPr="007D4DA9">
        <w:t>third party</w:t>
      </w:r>
      <w:r w:rsidR="009C42B2" w:rsidRPr="007D4DA9">
        <w:t xml:space="preserve"> </w:t>
      </w:r>
      <w:r w:rsidR="00A53FE9" w:rsidRPr="007D4DA9">
        <w:t>Open Source</w:t>
      </w:r>
      <w:r w:rsidRPr="007D4DA9">
        <w:t xml:space="preserve"> </w:t>
      </w:r>
      <w:r w:rsidR="00FB0120" w:rsidRPr="007D4DA9">
        <w:t xml:space="preserve">license </w:t>
      </w:r>
      <w:r w:rsidRPr="007D4DA9">
        <w:t>compliance inquiries</w:t>
      </w:r>
      <w:r w:rsidR="00F029C9" w:rsidRPr="007D4DA9">
        <w:t>.</w:t>
      </w:r>
      <w:r w:rsidR="002454EF" w:rsidRPr="007D4DA9">
        <w:t xml:space="preserve"> </w:t>
      </w:r>
      <w:r w:rsidR="002454EF" w:rsidRPr="007D4DA9">
        <w:tab/>
      </w:r>
    </w:p>
    <w:p w:rsidR="00153AD1" w:rsidRPr="00BC6D14" w:rsidRDefault="00153AD1" w:rsidP="00BC6D14">
      <w:pPr>
        <w:ind w:left="720"/>
        <w:rPr>
          <w:b/>
        </w:rPr>
      </w:pPr>
    </w:p>
    <w:p w:rsidR="00153AD1" w:rsidRPr="00661E9D" w:rsidRDefault="00153AD1" w:rsidP="00153AD1">
      <w:pPr>
        <w:ind w:left="720"/>
      </w:pPr>
      <w:r w:rsidRPr="00661E9D">
        <w:rPr>
          <w:b/>
        </w:rPr>
        <w:t>Rationale</w:t>
      </w:r>
      <w:r w:rsidRPr="00661E9D">
        <w:t>:</w:t>
      </w:r>
    </w:p>
    <w:p w:rsidR="001511D0" w:rsidRPr="00661E9D" w:rsidRDefault="002D6A3C" w:rsidP="004C1567">
      <w:pPr>
        <w:ind w:left="720"/>
      </w:pPr>
      <w:r>
        <w:t>To e</w:t>
      </w:r>
      <w:r w:rsidR="00153AD1" w:rsidRPr="00661E9D">
        <w:t xml:space="preserve">nsure </w:t>
      </w:r>
      <w:r w:rsidR="001511D0" w:rsidRPr="00661E9D">
        <w:t xml:space="preserve">there is a reasonable way for third parties to contact the organization </w:t>
      </w:r>
      <w:r w:rsidR="00AA7749" w:rsidRPr="00661E9D">
        <w:t>with regard to</w:t>
      </w:r>
      <w:r w:rsidR="0097241C">
        <w:t xml:space="preserve"> </w:t>
      </w:r>
      <w:r w:rsidR="00A53FE9">
        <w:t>Open Source</w:t>
      </w:r>
      <w:r w:rsidR="0097241C">
        <w:t xml:space="preserve"> compliance inquiries </w:t>
      </w:r>
      <w:r w:rsidR="0097241C" w:rsidRPr="00015EF3">
        <w:t xml:space="preserve">and that </w:t>
      </w:r>
      <w:r w:rsidR="009C42B2">
        <w:t xml:space="preserve">the </w:t>
      </w:r>
      <w:r w:rsidR="00793A3F">
        <w:t xml:space="preserve">organization is prepared to </w:t>
      </w:r>
      <w:r w:rsidR="009C42B2">
        <w:t xml:space="preserve">effectively </w:t>
      </w:r>
      <w:r w:rsidR="00344C00">
        <w:t>respond</w:t>
      </w:r>
      <w:r w:rsidR="0097241C">
        <w:t>.</w:t>
      </w:r>
    </w:p>
    <w:p w:rsidR="001511D0" w:rsidRDefault="001511D0" w:rsidP="00793A3F"/>
    <w:p w:rsidR="009B05FE" w:rsidRDefault="009B05FE" w:rsidP="00793A3F"/>
    <w:p w:rsidR="00D749A7" w:rsidRPr="007D4DA9" w:rsidRDefault="00793A3F" w:rsidP="00793A3F">
      <w:pPr>
        <w:rPr>
          <w:b/>
          <w:sz w:val="24"/>
        </w:rPr>
      </w:pPr>
      <w:r w:rsidRPr="007D4DA9">
        <w:rPr>
          <w:b/>
          <w:sz w:val="24"/>
        </w:rPr>
        <w:t xml:space="preserve">2.2  </w:t>
      </w:r>
      <w:r w:rsidRPr="007D4DA9">
        <w:rPr>
          <w:b/>
          <w:sz w:val="24"/>
        </w:rPr>
        <w:tab/>
      </w:r>
      <w:r w:rsidR="00E33699" w:rsidRPr="007D4DA9">
        <w:rPr>
          <w:b/>
          <w:sz w:val="24"/>
        </w:rPr>
        <w:t>Effectively Resourced</w:t>
      </w:r>
    </w:p>
    <w:p w:rsidR="00793A3F" w:rsidRPr="007D4DA9" w:rsidRDefault="00793A3F" w:rsidP="00D749A7">
      <w:pPr>
        <w:ind w:firstLine="720"/>
        <w:rPr>
          <w:b/>
          <w:sz w:val="24"/>
        </w:rPr>
      </w:pPr>
      <w:r w:rsidRPr="007D4DA9">
        <w:rPr>
          <w:b/>
        </w:rPr>
        <w:t xml:space="preserve">Identify </w:t>
      </w:r>
      <w:r w:rsidR="000A62E3" w:rsidRPr="007D4DA9">
        <w:rPr>
          <w:b/>
        </w:rPr>
        <w:t xml:space="preserve">and Resource </w:t>
      </w:r>
      <w:r w:rsidR="00FB0120" w:rsidRPr="007D4DA9">
        <w:rPr>
          <w:b/>
        </w:rPr>
        <w:t>Program</w:t>
      </w:r>
      <w:r w:rsidRPr="007D4DA9">
        <w:rPr>
          <w:b/>
        </w:rPr>
        <w:t xml:space="preserve"> Task(s)</w:t>
      </w:r>
      <w:r w:rsidR="00D749A7" w:rsidRPr="007D4DA9">
        <w:rPr>
          <w:b/>
        </w:rPr>
        <w:t>:</w:t>
      </w:r>
    </w:p>
    <w:p w:rsidR="00793A3F" w:rsidRPr="007D4DA9" w:rsidRDefault="00FB0120" w:rsidP="00793A3F">
      <w:pPr>
        <w:pStyle w:val="ListParagraph"/>
        <w:numPr>
          <w:ilvl w:val="0"/>
          <w:numId w:val="3"/>
        </w:numPr>
        <w:rPr>
          <w:b/>
        </w:rPr>
      </w:pPr>
      <w:r w:rsidRPr="007D4DA9">
        <w:rPr>
          <w:b/>
        </w:rPr>
        <w:t>Assign a</w:t>
      </w:r>
      <w:r w:rsidR="00793A3F" w:rsidRPr="007D4DA9">
        <w:rPr>
          <w:b/>
        </w:rPr>
        <w:t xml:space="preserve">ccountability </w:t>
      </w:r>
      <w:r w:rsidR="00344C00" w:rsidRPr="007D4DA9">
        <w:rPr>
          <w:b/>
        </w:rPr>
        <w:t>to ensure</w:t>
      </w:r>
      <w:r w:rsidR="00793A3F" w:rsidRPr="007D4DA9">
        <w:rPr>
          <w:b/>
        </w:rPr>
        <w:t xml:space="preserve"> the successful execution of </w:t>
      </w:r>
      <w:r w:rsidRPr="007D4DA9">
        <w:rPr>
          <w:b/>
        </w:rPr>
        <w:t>Program</w:t>
      </w:r>
      <w:r w:rsidR="00793A3F" w:rsidRPr="007D4DA9">
        <w:rPr>
          <w:b/>
        </w:rPr>
        <w:t xml:space="preserve"> tasks. </w:t>
      </w:r>
    </w:p>
    <w:p w:rsidR="00793A3F" w:rsidRPr="007D4DA9" w:rsidRDefault="00FB0120" w:rsidP="00793A3F">
      <w:pPr>
        <w:pStyle w:val="ListParagraph"/>
        <w:numPr>
          <w:ilvl w:val="0"/>
          <w:numId w:val="3"/>
        </w:numPr>
        <w:rPr>
          <w:b/>
        </w:rPr>
      </w:pPr>
      <w:r w:rsidRPr="007D4DA9">
        <w:rPr>
          <w:b/>
        </w:rPr>
        <w:t>Program</w:t>
      </w:r>
      <w:r w:rsidR="00793A3F" w:rsidRPr="007D4DA9">
        <w:rPr>
          <w:b/>
        </w:rPr>
        <w:t xml:space="preserve"> tasks are sufficiently resourced:</w:t>
      </w:r>
    </w:p>
    <w:p w:rsidR="00793A3F" w:rsidRPr="007D4DA9" w:rsidRDefault="00793A3F" w:rsidP="00793A3F">
      <w:pPr>
        <w:pStyle w:val="ListParagraph"/>
        <w:numPr>
          <w:ilvl w:val="1"/>
          <w:numId w:val="3"/>
        </w:numPr>
        <w:rPr>
          <w:b/>
        </w:rPr>
      </w:pPr>
      <w:r w:rsidRPr="007D4DA9">
        <w:rPr>
          <w:b/>
        </w:rPr>
        <w:t>Time to perform the tasks have been allocated; and</w:t>
      </w:r>
    </w:p>
    <w:p w:rsidR="00793A3F" w:rsidRPr="007D4DA9" w:rsidRDefault="00FB0120" w:rsidP="00FB0120">
      <w:pPr>
        <w:pStyle w:val="ListParagraph"/>
        <w:numPr>
          <w:ilvl w:val="1"/>
          <w:numId w:val="3"/>
        </w:numPr>
        <w:rPr>
          <w:b/>
        </w:rPr>
      </w:pPr>
      <w:r w:rsidRPr="007D4DA9">
        <w:rPr>
          <w:b/>
        </w:rPr>
        <w:t xml:space="preserve">Adequate funding </w:t>
      </w:r>
      <w:r w:rsidR="00793A3F" w:rsidRPr="007D4DA9">
        <w:rPr>
          <w:b/>
        </w:rPr>
        <w:t>has been allocated.</w:t>
      </w:r>
    </w:p>
    <w:p w:rsidR="00973F06" w:rsidRPr="00973F06" w:rsidRDefault="000A62E3" w:rsidP="00973F06">
      <w:pPr>
        <w:pStyle w:val="ListParagraph"/>
        <w:numPr>
          <w:ilvl w:val="0"/>
          <w:numId w:val="3"/>
        </w:numPr>
        <w:rPr>
          <w:b/>
        </w:rPr>
      </w:pPr>
      <w:r w:rsidRPr="00973F06">
        <w:rPr>
          <w:b/>
        </w:rPr>
        <w:t>A process exists for reviewing and updating</w:t>
      </w:r>
      <w:r w:rsidR="00793A3F" w:rsidRPr="00973F06">
        <w:rPr>
          <w:b/>
        </w:rPr>
        <w:t xml:space="preserve"> </w:t>
      </w:r>
      <w:r w:rsidR="00344C00" w:rsidRPr="00973F06">
        <w:rPr>
          <w:b/>
        </w:rPr>
        <w:t xml:space="preserve">the </w:t>
      </w:r>
      <w:r w:rsidR="00793A3F" w:rsidRPr="00973F06">
        <w:rPr>
          <w:b/>
        </w:rPr>
        <w:t xml:space="preserve">policy and </w:t>
      </w:r>
      <w:r w:rsidR="00344C00" w:rsidRPr="00973F06">
        <w:rPr>
          <w:b/>
        </w:rPr>
        <w:t>supporting tasks</w:t>
      </w:r>
      <w:r w:rsidR="00793A3F" w:rsidRPr="00973F06">
        <w:rPr>
          <w:b/>
        </w:rPr>
        <w:t>;</w:t>
      </w:r>
    </w:p>
    <w:p w:rsidR="00973F06" w:rsidRPr="00973F06" w:rsidRDefault="00793A3F" w:rsidP="00973F06">
      <w:pPr>
        <w:pStyle w:val="ListParagraph"/>
        <w:numPr>
          <w:ilvl w:val="0"/>
          <w:numId w:val="3"/>
        </w:numPr>
        <w:rPr>
          <w:b/>
        </w:rPr>
      </w:pPr>
      <w:r w:rsidRPr="00973F06">
        <w:rPr>
          <w:b/>
        </w:rPr>
        <w:t xml:space="preserve">Legal expertise pertaining to Open Source </w:t>
      </w:r>
      <w:r w:rsidR="00FB0120" w:rsidRPr="00973F06">
        <w:rPr>
          <w:b/>
        </w:rPr>
        <w:t xml:space="preserve">license </w:t>
      </w:r>
      <w:r w:rsidRPr="00973F06">
        <w:rPr>
          <w:b/>
        </w:rPr>
        <w:t>compliance is accessible to</w:t>
      </w:r>
      <w:r w:rsidR="000A62E3" w:rsidRPr="00973F06">
        <w:rPr>
          <w:b/>
        </w:rPr>
        <w:t xml:space="preserve"> those who may need such guidance</w:t>
      </w:r>
      <w:r w:rsidRPr="00973F06">
        <w:rPr>
          <w:b/>
        </w:rPr>
        <w:t>; and</w:t>
      </w:r>
    </w:p>
    <w:p w:rsidR="00793A3F" w:rsidRPr="00973F06" w:rsidRDefault="00793A3F" w:rsidP="00973F06">
      <w:pPr>
        <w:pStyle w:val="ListParagraph"/>
        <w:numPr>
          <w:ilvl w:val="0"/>
          <w:numId w:val="3"/>
        </w:numPr>
        <w:rPr>
          <w:b/>
        </w:rPr>
      </w:pPr>
      <w:r w:rsidRPr="00973F06">
        <w:rPr>
          <w:b/>
        </w:rPr>
        <w:t xml:space="preserve">A process exists for the resolution of Open Source </w:t>
      </w:r>
      <w:r w:rsidR="00FB0120" w:rsidRPr="00973F06">
        <w:rPr>
          <w:b/>
        </w:rPr>
        <w:t xml:space="preserve">license </w:t>
      </w:r>
      <w:r w:rsidRPr="00973F06">
        <w:rPr>
          <w:b/>
        </w:rPr>
        <w:t>compliance issu</w:t>
      </w:r>
      <w:r w:rsidRPr="00973F06">
        <w:rPr>
          <w:b/>
          <w:sz w:val="24"/>
        </w:rPr>
        <w:t>es.</w:t>
      </w:r>
    </w:p>
    <w:p w:rsidR="001511D0" w:rsidRPr="00661E9D" w:rsidRDefault="001511D0" w:rsidP="001511D0"/>
    <w:p w:rsidR="001511D0" w:rsidRPr="00661E9D" w:rsidRDefault="001511D0" w:rsidP="005F09B6">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5F09B6" w:rsidRPr="00661E9D">
        <w:t>:</w:t>
      </w:r>
    </w:p>
    <w:p w:rsidR="001511D0" w:rsidRDefault="00443BD6" w:rsidP="007845F9">
      <w:pPr>
        <w:pStyle w:val="ListParagraph"/>
        <w:numPr>
          <w:ilvl w:val="0"/>
          <w:numId w:val="1"/>
        </w:numPr>
      </w:pPr>
      <w:r w:rsidRPr="00015EF3">
        <w:t xml:space="preserve">2.2.1 </w:t>
      </w:r>
      <w:r w:rsidR="009F54AA">
        <w:t>Document with n</w:t>
      </w:r>
      <w:r w:rsidR="001511D0" w:rsidRPr="00015EF3">
        <w:t xml:space="preserve">ame of persons, group </w:t>
      </w:r>
      <w:r w:rsidR="00F05E30" w:rsidRPr="00015EF3">
        <w:t xml:space="preserve">or function in </w:t>
      </w:r>
      <w:r w:rsidR="00FB0120">
        <w:t>Program</w:t>
      </w:r>
      <w:r w:rsidR="00F05E30" w:rsidRPr="00015EF3">
        <w:t xml:space="preserve"> r</w:t>
      </w:r>
      <w:r w:rsidR="001511D0" w:rsidRPr="00015EF3">
        <w:t>ole</w:t>
      </w:r>
      <w:r w:rsidR="00DB58BC" w:rsidRPr="00015EF3">
        <w:t>(s)</w:t>
      </w:r>
      <w:r w:rsidR="001511D0" w:rsidRPr="00015EF3">
        <w:t xml:space="preserve"> </w:t>
      </w:r>
      <w:r w:rsidR="005F09B6" w:rsidRPr="00015EF3">
        <w:t>identified</w:t>
      </w:r>
      <w:r w:rsidR="00243C45" w:rsidRPr="00015EF3">
        <w:t>.</w:t>
      </w:r>
    </w:p>
    <w:p w:rsidR="009F54AA" w:rsidRPr="00015EF3" w:rsidRDefault="00F01566" w:rsidP="007845F9">
      <w:pPr>
        <w:pStyle w:val="ListParagraph"/>
        <w:numPr>
          <w:ilvl w:val="0"/>
          <w:numId w:val="1"/>
        </w:numPr>
      </w:pPr>
      <w:r>
        <w:t>2.2.2 The identified Program roles have been properly staffed and adequate funding provided.</w:t>
      </w:r>
    </w:p>
    <w:p w:rsidR="001511D0" w:rsidRPr="00015EF3" w:rsidRDefault="00443BD6" w:rsidP="007845F9">
      <w:pPr>
        <w:pStyle w:val="ListParagraph"/>
        <w:numPr>
          <w:ilvl w:val="0"/>
          <w:numId w:val="1"/>
        </w:numPr>
      </w:pPr>
      <w:r w:rsidRPr="00015EF3">
        <w:t>2.2.</w:t>
      </w:r>
      <w:r w:rsidR="00F01566">
        <w:t>3</w:t>
      </w:r>
      <w:r w:rsidR="00F01566" w:rsidRPr="00015EF3">
        <w:t xml:space="preserve"> </w:t>
      </w:r>
      <w:r w:rsidR="001D131D">
        <w:t>Identification of</w:t>
      </w:r>
      <w:r w:rsidR="001511D0" w:rsidRPr="00015EF3">
        <w:t xml:space="preserve"> legal expertis</w:t>
      </w:r>
      <w:r w:rsidR="00F05E30" w:rsidRPr="00015EF3">
        <w:t xml:space="preserve">e available to </w:t>
      </w:r>
      <w:r w:rsidR="00485431">
        <w:t xml:space="preserve">address </w:t>
      </w:r>
      <w:r w:rsidR="00A53FE9">
        <w:t>Open Source</w:t>
      </w:r>
      <w:r w:rsidR="00F05E30" w:rsidRPr="00015EF3">
        <w:t xml:space="preserve"> </w:t>
      </w:r>
      <w:r w:rsidR="00F309ED">
        <w:t>license c</w:t>
      </w:r>
      <w:r w:rsidR="00F05E30" w:rsidRPr="00015EF3">
        <w:t xml:space="preserve">ompliance </w:t>
      </w:r>
      <w:r w:rsidR="00485431">
        <w:t>matters</w:t>
      </w:r>
      <w:r w:rsidR="004E42D6" w:rsidRPr="00015EF3">
        <w:t xml:space="preserve"> which could be internal or external.</w:t>
      </w:r>
    </w:p>
    <w:p w:rsidR="001511D0" w:rsidRPr="00015EF3" w:rsidRDefault="00443BD6" w:rsidP="007845F9">
      <w:pPr>
        <w:pStyle w:val="ListParagraph"/>
        <w:numPr>
          <w:ilvl w:val="0"/>
          <w:numId w:val="1"/>
        </w:numPr>
      </w:pPr>
      <w:r w:rsidRPr="00015EF3">
        <w:t>2.2.</w:t>
      </w:r>
      <w:r w:rsidR="00F01566">
        <w:t>4</w:t>
      </w:r>
      <w:r w:rsidR="00F01566" w:rsidRPr="00015EF3">
        <w:t xml:space="preserve"> </w:t>
      </w:r>
      <w:r w:rsidR="005F09B6" w:rsidRPr="00015EF3">
        <w:t>A document</w:t>
      </w:r>
      <w:r w:rsidR="003A2756" w:rsidRPr="00015EF3">
        <w:t>ed</w:t>
      </w:r>
      <w:r w:rsidR="005F09B6" w:rsidRPr="00015EF3">
        <w:t xml:space="preserve"> procedure </w:t>
      </w:r>
      <w:r w:rsidR="001511D0" w:rsidRPr="00015EF3">
        <w:t xml:space="preserve">that assigns </w:t>
      </w:r>
      <w:r w:rsidR="00FE033A" w:rsidRPr="00015EF3">
        <w:t xml:space="preserve">internal </w:t>
      </w:r>
      <w:r w:rsidR="00DB58BC" w:rsidRPr="00015EF3">
        <w:t>responsibilities</w:t>
      </w:r>
      <w:r w:rsidR="001511D0" w:rsidRPr="00015EF3">
        <w:t xml:space="preserve"> for </w:t>
      </w:r>
      <w:r w:rsidR="00A53FE9">
        <w:t>Open Source</w:t>
      </w:r>
      <w:r w:rsidR="001511D0" w:rsidRPr="00015EF3">
        <w:t xml:space="preserve"> compliance</w:t>
      </w:r>
      <w:r w:rsidR="00243C45" w:rsidRPr="00015EF3">
        <w:t>.</w:t>
      </w:r>
    </w:p>
    <w:p w:rsidR="001511D0" w:rsidRPr="00015EF3" w:rsidRDefault="00443BD6" w:rsidP="007845F9">
      <w:pPr>
        <w:pStyle w:val="ListParagraph"/>
        <w:numPr>
          <w:ilvl w:val="0"/>
          <w:numId w:val="1"/>
        </w:numPr>
      </w:pPr>
      <w:r w:rsidRPr="00015EF3">
        <w:t>2.2.</w:t>
      </w:r>
      <w:r w:rsidR="00F01566">
        <w:t>5</w:t>
      </w:r>
      <w:r w:rsidR="00F01566"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Default="002D6A3C" w:rsidP="005F09B6">
      <w:pPr>
        <w:ind w:left="720"/>
      </w:pPr>
      <w:r>
        <w:t>To e</w:t>
      </w:r>
      <w:r w:rsidR="005F09B6" w:rsidRPr="00661E9D">
        <w:t>nsure</w:t>
      </w:r>
      <w:r w:rsidR="00223012">
        <w:t xml:space="preserve">: </w:t>
      </w:r>
      <w:proofErr w:type="spellStart"/>
      <w:r w:rsidR="00223012">
        <w:t>i</w:t>
      </w:r>
      <w:proofErr w:type="spellEnd"/>
      <w:r w:rsidR="00223012">
        <w:t>)</w:t>
      </w:r>
      <w:r w:rsidR="005F09B6" w:rsidRPr="00661E9D">
        <w:t xml:space="preserve"> </w:t>
      </w:r>
      <w:r w:rsidR="00F309ED">
        <w:t>Program</w:t>
      </w:r>
      <w:r w:rsidR="009F54AA">
        <w:t xml:space="preserve"> </w:t>
      </w:r>
      <w:r w:rsidR="005F09B6" w:rsidRPr="00661E9D">
        <w:t xml:space="preserve">responsibilities </w:t>
      </w:r>
      <w:r w:rsidR="000A62E3">
        <w:t>are</w:t>
      </w:r>
      <w:r w:rsidR="005F09B6" w:rsidRPr="00661E9D">
        <w:t xml:space="preserve"> effectively </w:t>
      </w:r>
      <w:r w:rsidR="000A62E3">
        <w:t>supported and resourced</w:t>
      </w:r>
      <w:r w:rsidR="00223012">
        <w:t xml:space="preserve"> and ii) policies and supporting processes are regularly </w:t>
      </w:r>
      <w:r w:rsidR="00D749A7">
        <w:t>updated to</w:t>
      </w:r>
      <w:r w:rsidR="00223012">
        <w:t xml:space="preserve"> accommodate changes in Open Source compliance best practices</w:t>
      </w:r>
      <w:r w:rsidR="005F09B6" w:rsidRPr="00661E9D">
        <w:t>.</w:t>
      </w:r>
    </w:p>
    <w:p w:rsidR="00835940" w:rsidRPr="00661E9D" w:rsidRDefault="00835940">
      <w:r w:rsidRPr="00661E9D">
        <w:br w:type="page"/>
      </w:r>
    </w:p>
    <w:p w:rsidR="00835940" w:rsidRPr="00661E9D" w:rsidRDefault="001432EF" w:rsidP="00835940">
      <w:pPr>
        <w:pStyle w:val="Heading2"/>
      </w:pPr>
      <w:bookmarkStart w:id="11" w:name="_Toc457078800"/>
      <w:bookmarkStart w:id="12" w:name="_Toc5054412"/>
      <w:r>
        <w:lastRenderedPageBreak/>
        <w:t>3.0</w:t>
      </w:r>
      <w:r w:rsidR="00FF5B48" w:rsidRPr="00661E9D">
        <w:t xml:space="preserve"> </w:t>
      </w:r>
      <w:r w:rsidR="00A53FE9">
        <w:t>Open Source</w:t>
      </w:r>
      <w:r w:rsidR="00FF5B48" w:rsidRPr="00661E9D">
        <w:t xml:space="preserve"> C</w:t>
      </w:r>
      <w:r w:rsidR="00835940" w:rsidRPr="00661E9D">
        <w:t>ontent</w:t>
      </w:r>
      <w:bookmarkEnd w:id="11"/>
      <w:r>
        <w:t xml:space="preserve"> </w:t>
      </w:r>
      <w:r w:rsidRPr="00661E9D">
        <w:t>Review and Approv</w:t>
      </w:r>
      <w:r>
        <w:t>al</w:t>
      </w:r>
      <w:bookmarkEnd w:id="12"/>
    </w:p>
    <w:p w:rsidR="003A31F4" w:rsidRPr="001876E3" w:rsidRDefault="00EF69E9" w:rsidP="005177FB">
      <w:pPr>
        <w:ind w:left="720" w:hanging="720"/>
        <w:rPr>
          <w:b/>
          <w:bCs/>
        </w:rPr>
      </w:pPr>
      <w:r w:rsidRPr="003A31F4">
        <w:rPr>
          <w:b/>
          <w:sz w:val="24"/>
        </w:rPr>
        <w:t>3.</w:t>
      </w:r>
      <w:r w:rsidR="003A31F4" w:rsidRPr="001876E3">
        <w:rPr>
          <w:b/>
          <w:sz w:val="24"/>
        </w:rPr>
        <w:t>1       Bill of Materials</w:t>
      </w:r>
    </w:p>
    <w:p w:rsidR="00EF69E9" w:rsidRPr="001876E3" w:rsidRDefault="00B048C2" w:rsidP="003A31F4">
      <w:pPr>
        <w:ind w:left="720"/>
        <w:rPr>
          <w:b/>
          <w:bCs/>
          <w:strike/>
        </w:rPr>
      </w:pPr>
      <w:r w:rsidRPr="001876E3">
        <w:rPr>
          <w:b/>
        </w:rPr>
        <w:t>A process exists for creating and managing a</w:t>
      </w:r>
      <w:r w:rsidR="00265BB7" w:rsidRPr="001876E3">
        <w:rPr>
          <w:b/>
        </w:rPr>
        <w:t xml:space="preserve"> </w:t>
      </w:r>
      <w:r w:rsidRPr="001876E3">
        <w:rPr>
          <w:b/>
        </w:rPr>
        <w:t>b</w:t>
      </w:r>
      <w:r w:rsidR="005177FB" w:rsidRPr="001876E3">
        <w:rPr>
          <w:b/>
        </w:rPr>
        <w:t xml:space="preserve">ill of materials </w:t>
      </w:r>
      <w:r w:rsidR="00204B91" w:rsidRPr="001876E3">
        <w:rPr>
          <w:b/>
        </w:rPr>
        <w:t xml:space="preserve">that </w:t>
      </w:r>
      <w:r w:rsidR="005177FB" w:rsidRPr="001876E3">
        <w:rPr>
          <w:b/>
        </w:rPr>
        <w:t xml:space="preserve">includes </w:t>
      </w:r>
      <w:r w:rsidRPr="001876E3">
        <w:rPr>
          <w:b/>
        </w:rPr>
        <w:t xml:space="preserve">each </w:t>
      </w:r>
      <w:r w:rsidR="00265BB7" w:rsidRPr="001876E3">
        <w:rPr>
          <w:b/>
        </w:rPr>
        <w:t xml:space="preserve">Open Source </w:t>
      </w:r>
      <w:r w:rsidRPr="001876E3">
        <w:rPr>
          <w:b/>
        </w:rPr>
        <w:t>component (and its Identified License</w:t>
      </w:r>
      <w:r w:rsidR="00AE0B71" w:rsidRPr="001876E3">
        <w:rPr>
          <w:b/>
        </w:rPr>
        <w:t>s</w:t>
      </w:r>
      <w:r w:rsidRPr="001876E3">
        <w:rPr>
          <w:b/>
          <w:bCs/>
        </w:rPr>
        <w:t xml:space="preserve">) </w:t>
      </w:r>
      <w:r w:rsidR="00E97A95" w:rsidRPr="001876E3">
        <w:rPr>
          <w:b/>
          <w:bCs/>
        </w:rPr>
        <w:t xml:space="preserve">from which the </w:t>
      </w:r>
      <w:r w:rsidRPr="001876E3">
        <w:rPr>
          <w:b/>
          <w:bCs/>
        </w:rPr>
        <w:t xml:space="preserve">Supplied Software </w:t>
      </w:r>
      <w:r w:rsidR="00E97A95" w:rsidRPr="001876E3">
        <w:rPr>
          <w:b/>
          <w:bCs/>
        </w:rPr>
        <w:t>is comprised</w:t>
      </w:r>
      <w:r w:rsidR="00EF69E9" w:rsidRPr="001876E3">
        <w:rPr>
          <w:b/>
          <w:bCs/>
        </w:rPr>
        <w:t xml:space="preserve">. </w:t>
      </w:r>
    </w:p>
    <w:p w:rsidR="00EF69E9" w:rsidRPr="001876E3" w:rsidRDefault="00EF69E9" w:rsidP="00EF69E9"/>
    <w:p w:rsidR="00EF69E9" w:rsidRPr="001876E3" w:rsidRDefault="00EF69E9" w:rsidP="00EF69E9">
      <w:pPr>
        <w:ind w:left="720"/>
      </w:pPr>
      <w:r w:rsidRPr="001876E3">
        <w:rPr>
          <w:b/>
          <w:bCs/>
        </w:rPr>
        <w:t xml:space="preserve">Verification </w:t>
      </w:r>
      <w:r w:rsidR="003B01F1" w:rsidRPr="001876E3">
        <w:rPr>
          <w:b/>
        </w:rPr>
        <w:t>Material</w:t>
      </w:r>
      <w:r w:rsidRPr="001876E3">
        <w:rPr>
          <w:b/>
          <w:bCs/>
        </w:rPr>
        <w:t>(s)</w:t>
      </w:r>
      <w:r w:rsidRPr="001876E3">
        <w:t>:</w:t>
      </w:r>
    </w:p>
    <w:p w:rsidR="00EF69E9" w:rsidRPr="001876E3" w:rsidRDefault="00EF69E9" w:rsidP="00EF69E9">
      <w:pPr>
        <w:pStyle w:val="ListParagraph"/>
        <w:numPr>
          <w:ilvl w:val="0"/>
          <w:numId w:val="23"/>
        </w:numPr>
      </w:pPr>
      <w:r w:rsidRPr="001876E3">
        <w:t xml:space="preserve">3.1.1 A documented procedure </w:t>
      </w:r>
      <w:r w:rsidR="009711A2" w:rsidRPr="001876E3">
        <w:t xml:space="preserve">for </w:t>
      </w:r>
      <w:r w:rsidR="003E1365" w:rsidRPr="001876E3">
        <w:t>identifying</w:t>
      </w:r>
      <w:r w:rsidR="00173ECF" w:rsidRPr="001876E3">
        <w:t xml:space="preserve">, </w:t>
      </w:r>
      <w:r w:rsidRPr="001876E3">
        <w:t>tracking</w:t>
      </w:r>
      <w:r w:rsidR="00521A9C" w:rsidRPr="001876E3">
        <w:t>, reviewing, approving</w:t>
      </w:r>
      <w:r w:rsidR="001876E3">
        <w:t>,</w:t>
      </w:r>
      <w:r w:rsidRPr="001876E3">
        <w:t xml:space="preserve"> </w:t>
      </w:r>
      <w:r w:rsidR="00173ECF" w:rsidRPr="001876E3">
        <w:t xml:space="preserve">and archiving </w:t>
      </w:r>
      <w:r w:rsidRPr="001876E3">
        <w:t xml:space="preserve">information about the collection of </w:t>
      </w:r>
      <w:r w:rsidR="00A53FE9" w:rsidRPr="001876E3">
        <w:t>Open Source</w:t>
      </w:r>
      <w:r w:rsidRPr="001876E3">
        <w:t xml:space="preserve"> components from which </w:t>
      </w:r>
      <w:r w:rsidR="006C363C" w:rsidRPr="001876E3">
        <w:t xml:space="preserve">the </w:t>
      </w:r>
      <w:r w:rsidRPr="001876E3">
        <w:t>Supplied Software is comprised.</w:t>
      </w:r>
    </w:p>
    <w:p w:rsidR="00EF69E9" w:rsidRPr="005E2228" w:rsidRDefault="00EF69E9" w:rsidP="00EF69E9">
      <w:pPr>
        <w:pStyle w:val="ListParagraph"/>
        <w:numPr>
          <w:ilvl w:val="0"/>
          <w:numId w:val="23"/>
        </w:numPr>
      </w:pPr>
      <w:r w:rsidRPr="001876E3">
        <w:t xml:space="preserve">3.1.2 </w:t>
      </w:r>
      <w:r w:rsidR="00A53FE9" w:rsidRPr="001876E3">
        <w:t>Open Source</w:t>
      </w:r>
      <w:r w:rsidRPr="001876E3">
        <w:t xml:space="preserve"> component records for </w:t>
      </w:r>
      <w:r w:rsidR="006C363C" w:rsidRPr="001876E3">
        <w:t xml:space="preserve">the </w:t>
      </w:r>
      <w:r w:rsidRPr="001876E3">
        <w:t xml:space="preserve">Supplied Software </w:t>
      </w:r>
      <w:r w:rsidR="00204B91" w:rsidRPr="001876E3">
        <w:t xml:space="preserve">that </w:t>
      </w:r>
      <w:r w:rsidRPr="001876E3">
        <w:t>demonstrates</w:t>
      </w:r>
      <w:r w:rsidRPr="005E2228">
        <w:t xml:space="preserve">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1876E3">
        <w:t xml:space="preserve">To ensure a </w:t>
      </w:r>
      <w:r w:rsidR="0083698F" w:rsidRPr="001876E3">
        <w:t>process</w:t>
      </w:r>
      <w:r w:rsidRPr="001876E3">
        <w:t xml:space="preserve"> exists for creating and managing </w:t>
      </w:r>
      <w:proofErr w:type="spellStart"/>
      <w:proofErr w:type="gramStart"/>
      <w:r w:rsidRPr="001876E3">
        <w:t>a</w:t>
      </w:r>
      <w:proofErr w:type="spellEnd"/>
      <w:proofErr w:type="gramEnd"/>
      <w:r w:rsidRPr="001876E3">
        <w:t xml:space="preserve"> </w:t>
      </w:r>
      <w:r w:rsidR="00A53FE9" w:rsidRPr="001876E3">
        <w:t>Open Source</w:t>
      </w:r>
      <w:r w:rsidRPr="001876E3">
        <w:t xml:space="preserve"> component bill of materials used to construct the Supplied Software. A bill of materials is needed to support the systematic review </w:t>
      </w:r>
      <w:r w:rsidR="00521A9C" w:rsidRPr="001876E3">
        <w:t xml:space="preserve">and approval </w:t>
      </w:r>
      <w:r w:rsidRPr="001876E3">
        <w:t>of each component’s license terms to understand the obligations and restrictions as it applies to the distribution of the Supplied Software.</w:t>
      </w:r>
      <w:r w:rsidRPr="005E2228">
        <w:t xml:space="preserve"> </w:t>
      </w:r>
    </w:p>
    <w:p w:rsidR="000951D7" w:rsidRPr="00661E9D" w:rsidRDefault="000951D7" w:rsidP="000951D7">
      <w:pPr>
        <w:ind w:left="720"/>
      </w:pPr>
    </w:p>
    <w:p w:rsidR="000951D7" w:rsidRPr="00661E9D" w:rsidRDefault="000951D7" w:rsidP="000951D7"/>
    <w:p w:rsidR="003A31F4" w:rsidRPr="001876E3" w:rsidRDefault="00C9780D" w:rsidP="00196850">
      <w:pPr>
        <w:ind w:left="720" w:hanging="720"/>
        <w:rPr>
          <w:b/>
        </w:rPr>
      </w:pPr>
      <w:r w:rsidRPr="003A31F4">
        <w:rPr>
          <w:b/>
          <w:sz w:val="24"/>
        </w:rPr>
        <w:t xml:space="preserve">3.2  </w:t>
      </w:r>
      <w:r w:rsidRPr="003A31F4">
        <w:rPr>
          <w:b/>
          <w:sz w:val="24"/>
        </w:rPr>
        <w:tab/>
      </w:r>
      <w:r w:rsidR="003A31F4" w:rsidRPr="001876E3">
        <w:rPr>
          <w:b/>
          <w:sz w:val="24"/>
        </w:rPr>
        <w:t>License Compliance</w:t>
      </w:r>
    </w:p>
    <w:p w:rsidR="006D72B1" w:rsidRPr="00196850" w:rsidRDefault="004C426F" w:rsidP="003A31F4">
      <w:pPr>
        <w:ind w:left="720"/>
        <w:rPr>
          <w:b/>
        </w:rPr>
      </w:pPr>
      <w:r w:rsidRPr="001876E3">
        <w:rPr>
          <w:b/>
        </w:rPr>
        <w:t xml:space="preserve">The </w:t>
      </w:r>
      <w:r w:rsidR="00035B29" w:rsidRPr="001876E3">
        <w:rPr>
          <w:b/>
        </w:rPr>
        <w:t>Program</w:t>
      </w:r>
      <w:r w:rsidRPr="001876E3">
        <w:rPr>
          <w:b/>
        </w:rPr>
        <w:t xml:space="preserve"> must be capable of </w:t>
      </w:r>
      <w:r w:rsidR="00204B91" w:rsidRPr="001876E3">
        <w:rPr>
          <w:b/>
        </w:rPr>
        <w:t xml:space="preserve">managing </w:t>
      </w:r>
      <w:r w:rsidR="00DC1DAB" w:rsidRPr="001876E3">
        <w:rPr>
          <w:b/>
        </w:rPr>
        <w:t xml:space="preserve">common </w:t>
      </w:r>
      <w:r w:rsidR="00A53FE9" w:rsidRPr="001876E3">
        <w:rPr>
          <w:b/>
        </w:rPr>
        <w:t>Open Source</w:t>
      </w:r>
      <w:r w:rsidRPr="001876E3">
        <w:rPr>
          <w:b/>
        </w:rPr>
        <w:t xml:space="preserve"> </w:t>
      </w:r>
      <w:r w:rsidR="00ED1297" w:rsidRPr="001876E3">
        <w:rPr>
          <w:b/>
        </w:rPr>
        <w:t xml:space="preserve">license </w:t>
      </w:r>
      <w:r w:rsidRPr="001876E3">
        <w:rPr>
          <w:b/>
        </w:rPr>
        <w:t>use cases encountered by Software Staff for Supplied Software, which may include the following use cases</w:t>
      </w:r>
      <w:r w:rsidR="009B7EEB" w:rsidRPr="001876E3">
        <w:rPr>
          <w:b/>
        </w:rPr>
        <w:t xml:space="preserve"> (n</w:t>
      </w:r>
      <w:r w:rsidR="00586BE8" w:rsidRPr="001876E3">
        <w:rPr>
          <w:b/>
        </w:rPr>
        <w:t>ote</w:t>
      </w:r>
      <w:r w:rsidR="00243C45" w:rsidRPr="001876E3">
        <w:rPr>
          <w:b/>
        </w:rPr>
        <w:t xml:space="preserve"> that the list is neither exhaustive, nor may all of the use cases apply</w:t>
      </w:r>
      <w:r w:rsidR="009B7EEB" w:rsidRPr="001876E3">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 xml:space="preserve">integrated with other </w:t>
      </w:r>
      <w:r w:rsidR="00A53FE9">
        <w:rPr>
          <w:b/>
        </w:rPr>
        <w:t>Open Source</w:t>
      </w:r>
      <w:r w:rsidRPr="005E2228">
        <w:rPr>
          <w:b/>
        </w:rPr>
        <w:t xml:space="preserve"> such that it may trigger copyleft obligations</w:t>
      </w:r>
      <w:r w:rsidR="00951E29" w:rsidRPr="005E2228">
        <w:rPr>
          <w:b/>
        </w:rPr>
        <w:t>;</w:t>
      </w:r>
    </w:p>
    <w:p w:rsidR="006D72B1" w:rsidRPr="005E2228" w:rsidRDefault="006D72B1" w:rsidP="00A838A0">
      <w:pPr>
        <w:pStyle w:val="ListParagraph"/>
        <w:numPr>
          <w:ilvl w:val="0"/>
          <w:numId w:val="6"/>
        </w:numPr>
        <w:rPr>
          <w:b/>
        </w:rPr>
      </w:pPr>
      <w:r w:rsidRPr="005E2228">
        <w:rPr>
          <w:b/>
        </w:rPr>
        <w:t xml:space="preserve">contains modified </w:t>
      </w:r>
      <w:r w:rsidR="00A53FE9">
        <w:rPr>
          <w:b/>
        </w:rPr>
        <w:t>Open Source</w:t>
      </w:r>
      <w:r w:rsidR="00951E29" w:rsidRPr="005E2228">
        <w:rPr>
          <w:b/>
        </w:rPr>
        <w:t>;</w:t>
      </w:r>
    </w:p>
    <w:p w:rsidR="006D72B1" w:rsidRPr="005E2228" w:rsidRDefault="006D72B1" w:rsidP="00A838A0">
      <w:pPr>
        <w:pStyle w:val="ListParagraph"/>
        <w:numPr>
          <w:ilvl w:val="0"/>
          <w:numId w:val="6"/>
        </w:numPr>
        <w:rPr>
          <w:b/>
        </w:rPr>
      </w:pPr>
      <w:r w:rsidRPr="00196850">
        <w:rPr>
          <w:b/>
        </w:rPr>
        <w:t xml:space="preserve">contains </w:t>
      </w:r>
      <w:r w:rsidR="00A53FE9">
        <w:rPr>
          <w:b/>
        </w:rPr>
        <w:t>Open Source</w:t>
      </w:r>
      <w:r w:rsidRPr="00196850">
        <w:rPr>
          <w:b/>
        </w:rPr>
        <w:t xml:space="preserve">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proofErr w:type="gramStart"/>
      <w:r w:rsidRPr="00196850">
        <w:rPr>
          <w:b/>
        </w:rPr>
        <w:t>contains</w:t>
      </w:r>
      <w:proofErr w:type="gramEnd"/>
      <w:r w:rsidRPr="00196850">
        <w:rPr>
          <w:b/>
        </w:rPr>
        <w:t xml:space="preserve"> </w:t>
      </w:r>
      <w:r w:rsidR="00A53FE9">
        <w:rPr>
          <w:b/>
        </w:rPr>
        <w:t>Open Source</w:t>
      </w:r>
      <w:r w:rsidRPr="00196850">
        <w:rPr>
          <w:b/>
        </w:rPr>
        <w:t xml:space="preserve">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pPr>
      <w:r w:rsidRPr="00661E9D">
        <w:t>3</w:t>
      </w:r>
      <w:r w:rsidR="00424F1E" w:rsidRPr="00661E9D">
        <w:t>.2</w:t>
      </w:r>
      <w:r w:rsidR="00443BD6">
        <w:t>.1</w:t>
      </w:r>
      <w:r w:rsidRPr="00661E9D">
        <w:t xml:space="preserve"> </w:t>
      </w:r>
      <w:r w:rsidR="001F3737" w:rsidRPr="00661E9D">
        <w:t xml:space="preserve">A </w:t>
      </w:r>
      <w:r w:rsidR="003F4343">
        <w:t xml:space="preserve">documented </w:t>
      </w:r>
      <w:r w:rsidR="000417DC">
        <w:t>procedure</w:t>
      </w:r>
      <w:r w:rsidR="001F3737" w:rsidRPr="00661E9D">
        <w:t xml:space="preserve"> </w:t>
      </w:r>
      <w:r w:rsidR="003F4343">
        <w:t>for</w:t>
      </w:r>
      <w:r w:rsidR="003F4343" w:rsidRPr="00661E9D">
        <w:t xml:space="preserve"> </w:t>
      </w:r>
      <w:r w:rsidR="00F2125E">
        <w:t>handl</w:t>
      </w:r>
      <w:r w:rsidR="003F4343">
        <w:t>ing</w:t>
      </w:r>
      <w:r w:rsidR="00F2125E">
        <w:t xml:space="preserve"> </w:t>
      </w:r>
      <w:r w:rsidR="00424F1E" w:rsidRPr="00661E9D">
        <w:t xml:space="preserve">the </w:t>
      </w:r>
      <w:r w:rsidR="00DC1DAB" w:rsidRPr="00CD326B">
        <w:t>common</w:t>
      </w:r>
      <w:r w:rsidR="00DC1DAB">
        <w:t xml:space="preserve"> </w:t>
      </w:r>
      <w:r w:rsidR="00A53FE9">
        <w:t>Open Source</w:t>
      </w:r>
      <w:r w:rsidR="00424F1E" w:rsidRPr="00661E9D">
        <w:t xml:space="preserve">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w:t>
      </w:r>
      <w:r w:rsidR="00A53FE9">
        <w:t>Open Source</w:t>
      </w:r>
      <w:r w:rsidR="00ED1297" w:rsidRPr="0051185F">
        <w:t xml:space="preserve"> components </w:t>
      </w:r>
      <w:r w:rsidR="00DB4D84" w:rsidRPr="0051185F">
        <w:t xml:space="preserve">of </w:t>
      </w:r>
      <w:r w:rsidR="003F4343">
        <w:t>the</w:t>
      </w:r>
      <w:r w:rsidR="003F4343" w:rsidRPr="0051185F">
        <w:t xml:space="preserve"> </w:t>
      </w:r>
      <w:r w:rsidR="00F2125E" w:rsidRPr="0051185F">
        <w:t>Supplied Software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w:t>
      </w:r>
      <w:r w:rsidR="00A53FE9">
        <w:t>Open Source</w:t>
      </w:r>
      <w:r w:rsidR="003713FE" w:rsidRPr="00CD326B">
        <w:t xml:space="preserve">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1432EF" w:rsidP="00930513">
      <w:pPr>
        <w:pStyle w:val="Heading2"/>
        <w:spacing w:before="60"/>
      </w:pPr>
      <w:bookmarkStart w:id="13" w:name="_Toc457078801"/>
      <w:bookmarkStart w:id="14" w:name="_Toc5054413"/>
      <w:r>
        <w:lastRenderedPageBreak/>
        <w:t>4.0</w:t>
      </w:r>
      <w:r w:rsidR="00FF5B48" w:rsidRPr="00661E9D">
        <w:t xml:space="preserve"> </w:t>
      </w:r>
      <w:r w:rsidR="004B494C">
        <w:t>Compliance</w:t>
      </w:r>
      <w:r w:rsidR="00FF5B48" w:rsidRPr="00661E9D">
        <w:t xml:space="preserve"> A</w:t>
      </w:r>
      <w:r w:rsidR="00A819C2" w:rsidRPr="00661E9D">
        <w:t>rtifact</w:t>
      </w:r>
      <w:bookmarkEnd w:id="13"/>
      <w:r>
        <w:t xml:space="preserve"> Creation and Delivery</w:t>
      </w:r>
      <w:bookmarkEnd w:id="14"/>
    </w:p>
    <w:p w:rsidR="003A31F4" w:rsidRDefault="00D62B99" w:rsidP="00D62B99">
      <w:pPr>
        <w:spacing w:before="60"/>
        <w:ind w:left="720" w:hanging="720"/>
        <w:rPr>
          <w:b/>
          <w:bCs/>
        </w:rPr>
      </w:pPr>
      <w:r w:rsidRPr="003A31F4">
        <w:rPr>
          <w:b/>
          <w:bCs/>
          <w:sz w:val="24"/>
        </w:rPr>
        <w:t>4.1</w:t>
      </w:r>
      <w:r w:rsidR="00134B97" w:rsidRPr="003A31F4">
        <w:rPr>
          <w:b/>
          <w:bCs/>
          <w:sz w:val="24"/>
        </w:rPr>
        <w:t xml:space="preserve">       </w:t>
      </w:r>
      <w:r w:rsidRPr="003A31F4">
        <w:rPr>
          <w:b/>
          <w:bCs/>
          <w:sz w:val="24"/>
        </w:rPr>
        <w:t> </w:t>
      </w:r>
      <w:r w:rsidR="003A31F4" w:rsidRPr="009B05FE">
        <w:rPr>
          <w:b/>
          <w:bCs/>
          <w:sz w:val="24"/>
        </w:rPr>
        <w:t>Compliance Artifacts</w:t>
      </w:r>
    </w:p>
    <w:p w:rsidR="00D62B99" w:rsidRDefault="004403F4" w:rsidP="003A31F4">
      <w:pPr>
        <w:spacing w:before="60"/>
        <w:ind w:left="720"/>
        <w:rPr>
          <w:b/>
          <w:bCs/>
        </w:rPr>
      </w:pPr>
      <w:r w:rsidRPr="00134B97">
        <w:rPr>
          <w:b/>
        </w:rPr>
        <w:t xml:space="preserve">A process exists for creating </w:t>
      </w:r>
      <w:r w:rsidR="00D62B99" w:rsidRPr="00134B97">
        <w:rPr>
          <w:b/>
        </w:rPr>
        <w:t xml:space="preserve">the set of </w:t>
      </w:r>
      <w:r w:rsidR="000A33B8" w:rsidRPr="00134B97">
        <w:rPr>
          <w:b/>
        </w:rPr>
        <w:t>Compliance Artifacts</w:t>
      </w:r>
      <w:r w:rsidR="00D62B99" w:rsidRPr="00134B97">
        <w:rPr>
          <w:b/>
        </w:rPr>
        <w:t xml:space="preserve"> </w:t>
      </w:r>
      <w:r w:rsidR="00134B97">
        <w:rPr>
          <w:b/>
        </w:rPr>
        <w:t xml:space="preserve">for </w:t>
      </w:r>
      <w:r w:rsidR="001C32A1">
        <w:rPr>
          <w:b/>
        </w:rPr>
        <w:t xml:space="preserve">the </w:t>
      </w:r>
      <w:r w:rsidR="00134B97">
        <w:rPr>
          <w:b/>
        </w:rPr>
        <w:t>Supplied Software</w:t>
      </w:r>
      <w:r w:rsidR="00D62B99" w:rsidRPr="00951E29">
        <w:rPr>
          <w:b/>
          <w:bCs/>
        </w:rPr>
        <w:t xml:space="preserve">. </w:t>
      </w:r>
    </w:p>
    <w:p w:rsidR="00D62B99" w:rsidRDefault="00D62B99" w:rsidP="00D62B99">
      <w:pPr>
        <w:ind w:left="720" w:hanging="720"/>
        <w:rPr>
          <w:b/>
          <w:bCs/>
        </w:rPr>
      </w:pPr>
    </w:p>
    <w:p w:rsidR="00D62B99" w:rsidRDefault="00D62B99" w:rsidP="00D62B99">
      <w:pPr>
        <w:ind w:left="720"/>
      </w:pPr>
      <w:r>
        <w:rPr>
          <w:b/>
          <w:bCs/>
        </w:rPr>
        <w:t xml:space="preserve">Verification </w:t>
      </w:r>
      <w:r w:rsidR="003B01F1">
        <w:rPr>
          <w:b/>
        </w:rPr>
        <w:t>Material</w:t>
      </w:r>
      <w:r>
        <w:rPr>
          <w:b/>
          <w:bCs/>
        </w:rPr>
        <w:t>(s)</w:t>
      </w:r>
      <w:r>
        <w:t>:</w:t>
      </w:r>
    </w:p>
    <w:p w:rsidR="00D62B99" w:rsidRDefault="00D62B99" w:rsidP="00D62B99">
      <w:pPr>
        <w:pStyle w:val="ListParagraph"/>
        <w:numPr>
          <w:ilvl w:val="0"/>
          <w:numId w:val="24"/>
        </w:numPr>
      </w:pPr>
      <w:r w:rsidRPr="001876E3">
        <w:t xml:space="preserve">4.1.1 A documented procedure that </w:t>
      </w:r>
      <w:r w:rsidR="00204B91" w:rsidRPr="001876E3">
        <w:t>documents the process under which</w:t>
      </w:r>
      <w:r w:rsidRPr="001876E3">
        <w:t xml:space="preserve"> the Compliance Artifacts are prepared and distributed with </w:t>
      </w:r>
      <w:r w:rsidR="00AC550C" w:rsidRPr="001876E3">
        <w:t xml:space="preserve">the </w:t>
      </w:r>
      <w:r w:rsidRPr="001876E3">
        <w:t>Supplied Software as required by the Identified Licenses</w:t>
      </w:r>
      <w:r>
        <w:t>.</w:t>
      </w:r>
    </w:p>
    <w:p w:rsidR="00D62B99" w:rsidRDefault="00D62B99" w:rsidP="00D62B99">
      <w:pPr>
        <w:pStyle w:val="ListParagraph"/>
        <w:ind w:left="1080"/>
      </w:pPr>
    </w:p>
    <w:p w:rsidR="00D62B99" w:rsidRPr="001876E3" w:rsidRDefault="0006252C" w:rsidP="00D62B99">
      <w:pPr>
        <w:pStyle w:val="ListParagraph"/>
        <w:numPr>
          <w:ilvl w:val="0"/>
          <w:numId w:val="24"/>
        </w:numPr>
      </w:pPr>
      <w:r w:rsidRPr="001876E3">
        <w:t xml:space="preserve">4.1.2 A documented procedure for archiving copies of the Compliance Artifacts of the Supplied Software - where the archive is planned to exist </w:t>
      </w:r>
      <w:r w:rsidR="00366FC8" w:rsidRPr="001876E3">
        <w:t xml:space="preserve">for </w:t>
      </w:r>
      <w:r w:rsidR="00204B91" w:rsidRPr="001876E3">
        <w:t>a reasonable period of time</w:t>
      </w:r>
      <w:r w:rsidR="005B07BE" w:rsidRPr="001876E3">
        <w:rPr>
          <w:rStyle w:val="FootnoteReference"/>
        </w:rPr>
        <w:footnoteReference w:id="1"/>
      </w:r>
      <w:r w:rsidR="00366FC8" w:rsidRPr="001876E3">
        <w:t xml:space="preserve"> since</w:t>
      </w:r>
      <w:r w:rsidR="008175DF" w:rsidRPr="001876E3">
        <w:t xml:space="preserve"> the last offer of the </w:t>
      </w:r>
      <w:r w:rsidRPr="001876E3">
        <w:t>Supplied Software</w:t>
      </w:r>
      <w:r w:rsidR="00AA57DE" w:rsidRPr="001876E3">
        <w:t>;</w:t>
      </w:r>
      <w:r w:rsidRPr="001876E3">
        <w:t xml:space="preserve"> or as required by the Identified Licenses (whichever is longer). Records exist that demonstrate the procedure has been properly followed</w:t>
      </w:r>
      <w:r w:rsidR="00D62B99" w:rsidRPr="001876E3">
        <w:t>.</w:t>
      </w:r>
    </w:p>
    <w:p w:rsidR="0006252C" w:rsidRDefault="0006252C" w:rsidP="0006252C">
      <w:pPr>
        <w:pStyle w:val="ListParagraph"/>
        <w:ind w:left="1080"/>
      </w:pPr>
    </w:p>
    <w:p w:rsidR="00D62B99" w:rsidRDefault="00D62B99" w:rsidP="00D62B99">
      <w:pPr>
        <w:ind w:left="720"/>
      </w:pPr>
      <w:r>
        <w:rPr>
          <w:b/>
          <w:bCs/>
        </w:rPr>
        <w:t>Rationale</w:t>
      </w:r>
      <w:r>
        <w:t>:</w:t>
      </w:r>
    </w:p>
    <w:p w:rsidR="00DB2453" w:rsidRPr="00661E9D" w:rsidRDefault="002D6A3C" w:rsidP="00D62B99">
      <w:pPr>
        <w:ind w:left="720"/>
      </w:pPr>
      <w:r>
        <w:t xml:space="preserve">To </w:t>
      </w:r>
      <w:r w:rsidR="00360E59">
        <w:t xml:space="preserve">ensure </w:t>
      </w:r>
      <w:r w:rsidR="00750648" w:rsidRPr="00360E59">
        <w:t xml:space="preserve">reasonable commercial efforts </w:t>
      </w:r>
      <w:r w:rsidR="00360E59">
        <w:t xml:space="preserve">have been instituted </w:t>
      </w:r>
      <w:r w:rsidR="00750648" w:rsidRPr="00360E59">
        <w:t xml:space="preserve">in </w:t>
      </w:r>
      <w:r w:rsidR="00360E59">
        <w:t>the preparation of the</w:t>
      </w:r>
      <w:r w:rsidR="00D62B99">
        <w:t xml:space="preserve"> Compliance Artifacts</w:t>
      </w:r>
      <w:r w:rsidR="00D62B99" w:rsidRPr="00D62B99">
        <w:t xml:space="preserve"> </w:t>
      </w:r>
      <w:r w:rsidR="00360E59">
        <w:t>that accompanies</w:t>
      </w:r>
      <w:r w:rsidR="00D62B99">
        <w:t xml:space="preserve"> the Supplied Software</w:t>
      </w:r>
      <w:r w:rsidR="00360E59">
        <w:t>,</w:t>
      </w:r>
      <w:r w:rsidR="00D62B99">
        <w:t xml:space="preserve"> as </w:t>
      </w:r>
      <w:r w:rsidR="00D62B99" w:rsidRPr="006C03C4">
        <w:t>required by the Identified Licenses.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1432EF" w:rsidP="00930513">
      <w:pPr>
        <w:pStyle w:val="Heading2"/>
        <w:spacing w:before="60"/>
      </w:pPr>
      <w:bookmarkStart w:id="15" w:name="_Toc457078802"/>
      <w:bookmarkStart w:id="16" w:name="_Toc5054414"/>
      <w:r>
        <w:lastRenderedPageBreak/>
        <w:t xml:space="preserve">5.0 </w:t>
      </w:r>
      <w:r w:rsidRPr="00661E9D">
        <w:t>Understand</w:t>
      </w:r>
      <w:r w:rsidR="00056657">
        <w:t>ing</w:t>
      </w:r>
      <w:r w:rsidR="00FF601A" w:rsidRPr="00661E9D">
        <w:t xml:space="preserve"> </w:t>
      </w:r>
      <w:r w:rsidR="00A53FE9">
        <w:t>Open Source</w:t>
      </w:r>
      <w:r w:rsidR="00FF601A" w:rsidRPr="00661E9D">
        <w:t xml:space="preserve"> Community Engagement</w:t>
      </w:r>
      <w:bookmarkEnd w:id="15"/>
      <w:r w:rsidR="00AA57DE">
        <w:t>s</w:t>
      </w:r>
      <w:bookmarkEnd w:id="16"/>
    </w:p>
    <w:p w:rsidR="003A31F4" w:rsidRPr="00A45385" w:rsidRDefault="00443BD6" w:rsidP="00DD6581">
      <w:pPr>
        <w:ind w:left="720" w:hanging="720"/>
        <w:rPr>
          <w:b/>
          <w:sz w:val="24"/>
          <w:szCs w:val="24"/>
        </w:rPr>
      </w:pPr>
      <w:r w:rsidRPr="00A45385">
        <w:rPr>
          <w:b/>
          <w:sz w:val="24"/>
          <w:szCs w:val="24"/>
        </w:rPr>
        <w:t>5.1</w:t>
      </w:r>
      <w:r w:rsidR="00DD6581" w:rsidRPr="00A45385">
        <w:rPr>
          <w:b/>
          <w:sz w:val="24"/>
          <w:szCs w:val="24"/>
        </w:rPr>
        <w:tab/>
      </w:r>
      <w:r w:rsidR="003A31F4" w:rsidRPr="00A45385">
        <w:rPr>
          <w:b/>
          <w:sz w:val="24"/>
          <w:szCs w:val="24"/>
        </w:rPr>
        <w:t>Contributions</w:t>
      </w:r>
    </w:p>
    <w:p w:rsidR="00DD6581" w:rsidRPr="00A45385" w:rsidRDefault="00DD6581" w:rsidP="003A31F4">
      <w:pPr>
        <w:ind w:left="720"/>
        <w:rPr>
          <w:b/>
        </w:rPr>
      </w:pPr>
      <w:r w:rsidRPr="00A45385">
        <w:rPr>
          <w:b/>
        </w:rPr>
        <w:t xml:space="preserve">If an organization permits contributions to Open Source projects then </w:t>
      </w:r>
    </w:p>
    <w:p w:rsidR="00DD6581" w:rsidRPr="00A45385" w:rsidRDefault="00042163" w:rsidP="00DD6581">
      <w:pPr>
        <w:pStyle w:val="ListParagraph"/>
        <w:numPr>
          <w:ilvl w:val="0"/>
          <w:numId w:val="37"/>
        </w:numPr>
        <w:rPr>
          <w:b/>
        </w:rPr>
      </w:pPr>
      <w:r w:rsidRPr="00A45385">
        <w:rPr>
          <w:b/>
        </w:rPr>
        <w:t>a</w:t>
      </w:r>
      <w:r w:rsidR="00DD6581" w:rsidRPr="00A45385">
        <w:rPr>
          <w:b/>
        </w:rPr>
        <w:t xml:space="preserve"> written policy exists that governs contributions to Open Source projects</w:t>
      </w:r>
      <w:r w:rsidR="003D5588" w:rsidRPr="00A45385">
        <w:rPr>
          <w:b/>
        </w:rPr>
        <w:t>;</w:t>
      </w:r>
      <w:r w:rsidR="00DD6581" w:rsidRPr="00A45385">
        <w:rPr>
          <w:b/>
        </w:rPr>
        <w:t xml:space="preserve"> </w:t>
      </w:r>
    </w:p>
    <w:p w:rsidR="00DD6581" w:rsidRPr="00A45385" w:rsidRDefault="00042163" w:rsidP="00DD6581">
      <w:pPr>
        <w:pStyle w:val="ListParagraph"/>
        <w:numPr>
          <w:ilvl w:val="0"/>
          <w:numId w:val="37"/>
        </w:numPr>
        <w:rPr>
          <w:b/>
        </w:rPr>
      </w:pPr>
      <w:r w:rsidRPr="00A45385">
        <w:rPr>
          <w:b/>
        </w:rPr>
        <w:t>t</w:t>
      </w:r>
      <w:r w:rsidR="00DD6581" w:rsidRPr="00A45385">
        <w:rPr>
          <w:b/>
        </w:rPr>
        <w:t>he policy must be internally communicated</w:t>
      </w:r>
      <w:r w:rsidR="003D5588" w:rsidRPr="00A45385">
        <w:rPr>
          <w:b/>
        </w:rPr>
        <w:t>; and</w:t>
      </w:r>
    </w:p>
    <w:p w:rsidR="00DD6581" w:rsidRPr="00A45385" w:rsidRDefault="00DD6581" w:rsidP="00DD6581">
      <w:pPr>
        <w:pStyle w:val="ListParagraph"/>
        <w:numPr>
          <w:ilvl w:val="0"/>
          <w:numId w:val="37"/>
        </w:numPr>
        <w:rPr>
          <w:b/>
        </w:rPr>
      </w:pPr>
      <w:r w:rsidRPr="00A45385">
        <w:rPr>
          <w:b/>
        </w:rPr>
        <w:t xml:space="preserve">a process exists that implements the policy </w:t>
      </w:r>
    </w:p>
    <w:p w:rsidR="00DD6581" w:rsidRPr="00A45385" w:rsidRDefault="00DD6581" w:rsidP="00DD6581">
      <w:pPr>
        <w:rPr>
          <w:b/>
          <w:strike/>
        </w:rPr>
      </w:pPr>
    </w:p>
    <w:p w:rsidR="00DD6581" w:rsidRPr="00A45385" w:rsidRDefault="00DD6581" w:rsidP="00DD6581">
      <w:pPr>
        <w:ind w:left="720"/>
      </w:pPr>
      <w:r w:rsidRPr="00A45385">
        <w:rPr>
          <w:b/>
        </w:rPr>
        <w:t>Verification Material(s)</w:t>
      </w:r>
      <w:r w:rsidRPr="00A45385">
        <w:t>:</w:t>
      </w:r>
    </w:p>
    <w:p w:rsidR="00042163" w:rsidRPr="00A45385" w:rsidRDefault="00042163" w:rsidP="00DD6581">
      <w:pPr>
        <w:ind w:left="720"/>
      </w:pPr>
      <w:r w:rsidRPr="00A45385">
        <w:t>If an organization permits contributions to Open Source projects then</w:t>
      </w:r>
      <w:r w:rsidR="002C4595" w:rsidRPr="00A45385">
        <w:t xml:space="preserve"> the following </w:t>
      </w:r>
      <w:r w:rsidR="00584862" w:rsidRPr="00A45385">
        <w:t>must</w:t>
      </w:r>
      <w:r w:rsidR="002C4595" w:rsidRPr="00A45385">
        <w:t xml:space="preserve"> exist:</w:t>
      </w:r>
    </w:p>
    <w:p w:rsidR="00DD6581" w:rsidRPr="00A45385" w:rsidRDefault="00DD6581" w:rsidP="00DD6581">
      <w:pPr>
        <w:pStyle w:val="ListParagraph"/>
        <w:numPr>
          <w:ilvl w:val="0"/>
          <w:numId w:val="1"/>
        </w:numPr>
      </w:pPr>
      <w:r w:rsidRPr="00A45385">
        <w:t xml:space="preserve">5.1.1 </w:t>
      </w:r>
      <w:r w:rsidR="002C4595" w:rsidRPr="00A45385">
        <w:t>a</w:t>
      </w:r>
      <w:r w:rsidRPr="00A45385">
        <w:t xml:space="preserve"> documented Open Source contribution policy;</w:t>
      </w:r>
    </w:p>
    <w:p w:rsidR="00DD6581" w:rsidRPr="00A45385" w:rsidRDefault="008B7011" w:rsidP="00DD6581">
      <w:pPr>
        <w:pStyle w:val="ListParagraph"/>
        <w:numPr>
          <w:ilvl w:val="0"/>
          <w:numId w:val="1"/>
        </w:numPr>
      </w:pPr>
      <w:r w:rsidRPr="00A45385">
        <w:t>5.1.2</w:t>
      </w:r>
      <w:r w:rsidR="00DD6581" w:rsidRPr="00A45385">
        <w:t xml:space="preserve"> </w:t>
      </w:r>
      <w:r w:rsidR="002C4595" w:rsidRPr="00A45385">
        <w:t>a</w:t>
      </w:r>
      <w:r w:rsidR="00DD6581" w:rsidRPr="00A45385">
        <w:t xml:space="preserve"> documented procedure that governs Open Source contributions</w:t>
      </w:r>
      <w:r w:rsidRPr="00A45385">
        <w:t>; and</w:t>
      </w:r>
    </w:p>
    <w:p w:rsidR="00DD6581" w:rsidRPr="00A45385" w:rsidRDefault="008B7011" w:rsidP="00DD6581">
      <w:pPr>
        <w:pStyle w:val="ListParagraph"/>
        <w:numPr>
          <w:ilvl w:val="0"/>
          <w:numId w:val="1"/>
        </w:numPr>
      </w:pPr>
      <w:r w:rsidRPr="00A45385">
        <w:t xml:space="preserve">5.1.3 </w:t>
      </w:r>
      <w:proofErr w:type="gramStart"/>
      <w:r w:rsidRPr="00A45385">
        <w:t>a</w:t>
      </w:r>
      <w:proofErr w:type="gramEnd"/>
      <w:r w:rsidR="002C4595" w:rsidRPr="00A45385">
        <w:t xml:space="preserve"> documented procedure that makes all Software Staff aware of the existence of the Open Source contribution policy (</w:t>
      </w:r>
      <w:r w:rsidR="002C4595" w:rsidRPr="00A45385">
        <w:rPr>
          <w:i/>
        </w:rPr>
        <w:t>e.g.</w:t>
      </w:r>
      <w:r w:rsidR="002C4595" w:rsidRPr="00A45385">
        <w:t>, via training, internal wiki, or other practical communication method).</w:t>
      </w:r>
    </w:p>
    <w:p w:rsidR="00DD6581" w:rsidRPr="00A45385" w:rsidRDefault="00DD6581" w:rsidP="00DD6581">
      <w:pPr>
        <w:pStyle w:val="ListParagraph"/>
        <w:ind w:left="1080"/>
      </w:pPr>
    </w:p>
    <w:p w:rsidR="00DD6581" w:rsidRPr="00A45385" w:rsidRDefault="00DD6581" w:rsidP="00DD6581">
      <w:pPr>
        <w:tabs>
          <w:tab w:val="left" w:pos="2955"/>
        </w:tabs>
        <w:ind w:left="720"/>
      </w:pPr>
      <w:r w:rsidRPr="00A45385">
        <w:rPr>
          <w:b/>
        </w:rPr>
        <w:t>Rationale</w:t>
      </w:r>
      <w:r w:rsidRPr="00A45385">
        <w:t>:</w:t>
      </w:r>
      <w:r w:rsidRPr="00A45385">
        <w:tab/>
      </w:r>
    </w:p>
    <w:p w:rsidR="00DD6581" w:rsidRPr="00D27C65" w:rsidRDefault="00584862" w:rsidP="00DD6581">
      <w:pPr>
        <w:ind w:left="720"/>
      </w:pPr>
      <w:r w:rsidRPr="00A45385">
        <w:t>When</w:t>
      </w:r>
      <w:r w:rsidR="002C4595" w:rsidRPr="00A45385">
        <w:t xml:space="preserve"> an organization permits Open Source contributions we want t</w:t>
      </w:r>
      <w:r w:rsidR="00042163" w:rsidRPr="00A45385">
        <w:t xml:space="preserve">o ensure </w:t>
      </w:r>
      <w:r w:rsidR="002C4595" w:rsidRPr="00A45385">
        <w:t>the</w:t>
      </w:r>
      <w:r w:rsidR="00042163" w:rsidRPr="00A45385">
        <w:t xml:space="preserve"> organization has given reasonable consideration to developing </w:t>
      </w:r>
      <w:r w:rsidR="002C4595" w:rsidRPr="00A45385">
        <w:t xml:space="preserve">and implementing </w:t>
      </w:r>
      <w:r w:rsidR="003D5588" w:rsidRPr="00A45385">
        <w:t xml:space="preserve">a </w:t>
      </w:r>
      <w:r w:rsidR="002C4595" w:rsidRPr="00A45385">
        <w:t>contribution</w:t>
      </w:r>
      <w:r w:rsidR="00042163" w:rsidRPr="00A45385">
        <w:t xml:space="preserve"> policy.  The Open Source contribution policy can be made a part of the overall Open Source policy or be its own separate policy.</w:t>
      </w:r>
    </w:p>
    <w:p w:rsidR="00DD6581" w:rsidRDefault="00FF601A" w:rsidP="00930513">
      <w:pPr>
        <w:spacing w:before="60"/>
        <w:ind w:left="720" w:hanging="720"/>
        <w:rPr>
          <w:b/>
        </w:rPr>
      </w:pPr>
      <w:r w:rsidRPr="00661E9D">
        <w:rPr>
          <w:b/>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rPr>
      </w:pPr>
      <w:bookmarkStart w:id="17" w:name="_Toc457078803"/>
      <w:r>
        <w:br w:type="page"/>
      </w:r>
    </w:p>
    <w:p w:rsidR="00CB546C" w:rsidRPr="00A45385" w:rsidRDefault="00A45385" w:rsidP="00930513">
      <w:pPr>
        <w:pStyle w:val="Heading2"/>
        <w:spacing w:before="60"/>
      </w:pPr>
      <w:bookmarkStart w:id="18" w:name="_Toc5054415"/>
      <w:r w:rsidRPr="00A45385">
        <w:lastRenderedPageBreak/>
        <w:t>6.0 Adherence</w:t>
      </w:r>
      <w:r w:rsidR="00CB546C" w:rsidRPr="00A45385">
        <w:t xml:space="preserve"> to </w:t>
      </w:r>
      <w:r w:rsidR="00AA57DE" w:rsidRPr="00A45385">
        <w:t xml:space="preserve">the Specification </w:t>
      </w:r>
      <w:r w:rsidR="00064D62" w:rsidRPr="00A45385">
        <w:t>R</w:t>
      </w:r>
      <w:r w:rsidR="00CB546C" w:rsidRPr="00A45385">
        <w:t>equirements</w:t>
      </w:r>
      <w:bookmarkEnd w:id="17"/>
      <w:bookmarkEnd w:id="18"/>
    </w:p>
    <w:p w:rsidR="00D749A7" w:rsidRPr="00A45385" w:rsidRDefault="00443BD6" w:rsidP="00930513">
      <w:pPr>
        <w:spacing w:before="60"/>
        <w:ind w:left="720" w:hanging="720"/>
        <w:rPr>
          <w:b/>
          <w:sz w:val="24"/>
        </w:rPr>
      </w:pPr>
      <w:r w:rsidRPr="00A45385">
        <w:rPr>
          <w:b/>
          <w:sz w:val="24"/>
        </w:rPr>
        <w:t>6.1</w:t>
      </w:r>
      <w:r w:rsidR="0006084F" w:rsidRPr="00A45385">
        <w:rPr>
          <w:b/>
          <w:sz w:val="24"/>
        </w:rPr>
        <w:tab/>
      </w:r>
      <w:r w:rsidR="00D749A7" w:rsidRPr="00A45385">
        <w:rPr>
          <w:b/>
          <w:sz w:val="24"/>
        </w:rPr>
        <w:t>Conformance</w:t>
      </w:r>
    </w:p>
    <w:p w:rsidR="0006084F" w:rsidRPr="00A45385" w:rsidRDefault="0006084F" w:rsidP="00D749A7">
      <w:pPr>
        <w:spacing w:before="60"/>
        <w:ind w:left="720"/>
        <w:rPr>
          <w:b/>
        </w:rPr>
      </w:pPr>
      <w:r w:rsidRPr="00A45385">
        <w:rPr>
          <w:b/>
        </w:rPr>
        <w:t xml:space="preserve">In order for </w:t>
      </w:r>
      <w:r w:rsidR="00FD0225" w:rsidRPr="00A45385">
        <w:rPr>
          <w:b/>
        </w:rPr>
        <w:t xml:space="preserve">a </w:t>
      </w:r>
      <w:r w:rsidR="00035B29" w:rsidRPr="00A45385">
        <w:rPr>
          <w:b/>
        </w:rPr>
        <w:t>Program</w:t>
      </w:r>
      <w:r w:rsidR="00FD0225" w:rsidRPr="00A45385">
        <w:rPr>
          <w:b/>
        </w:rPr>
        <w:t xml:space="preserve"> to be deemed </w:t>
      </w:r>
      <w:r w:rsidRPr="00A45385">
        <w:rPr>
          <w:b/>
        </w:rPr>
        <w:t xml:space="preserve">OpenChain </w:t>
      </w:r>
      <w:r w:rsidR="00584862" w:rsidRPr="00A45385">
        <w:rPr>
          <w:b/>
        </w:rPr>
        <w:t>Conformant</w:t>
      </w:r>
      <w:r w:rsidRPr="00A45385">
        <w:rPr>
          <w:b/>
        </w:rPr>
        <w:t xml:space="preserve">, </w:t>
      </w:r>
      <w:r w:rsidR="00BE3E7A" w:rsidRPr="00A45385">
        <w:rPr>
          <w:b/>
        </w:rPr>
        <w:t xml:space="preserve">the organization </w:t>
      </w:r>
      <w:r w:rsidRPr="00A45385">
        <w:rPr>
          <w:b/>
        </w:rPr>
        <w:t>must</w:t>
      </w:r>
      <w:r w:rsidR="005438DA" w:rsidRPr="00A45385">
        <w:rPr>
          <w:b/>
        </w:rPr>
        <w:t xml:space="preserve"> affirm</w:t>
      </w:r>
      <w:r w:rsidRPr="00A45385">
        <w:rPr>
          <w:b/>
        </w:rPr>
        <w:t xml:space="preserve"> that </w:t>
      </w:r>
      <w:r w:rsidR="000724E7" w:rsidRPr="00A45385">
        <w:rPr>
          <w:b/>
        </w:rPr>
        <w:t>the</w:t>
      </w:r>
      <w:r w:rsidR="00C17887" w:rsidRPr="00A45385">
        <w:rPr>
          <w:b/>
        </w:rPr>
        <w:t xml:space="preserve"> </w:t>
      </w:r>
      <w:r w:rsidRPr="00A45385">
        <w:rPr>
          <w:b/>
        </w:rPr>
        <w:t xml:space="preserve">program </w:t>
      </w:r>
      <w:r w:rsidR="003B7A0E" w:rsidRPr="00A45385">
        <w:rPr>
          <w:b/>
        </w:rPr>
        <w:t xml:space="preserve">satisfies </w:t>
      </w:r>
      <w:r w:rsidR="005438DA" w:rsidRPr="00A45385">
        <w:rPr>
          <w:b/>
        </w:rPr>
        <w:t xml:space="preserve">the </w:t>
      </w:r>
      <w:r w:rsidR="003B7A0E" w:rsidRPr="00A45385">
        <w:rPr>
          <w:b/>
        </w:rPr>
        <w:t xml:space="preserve">requirements </w:t>
      </w:r>
      <w:r w:rsidR="006C794D" w:rsidRPr="00A45385">
        <w:rPr>
          <w:b/>
        </w:rPr>
        <w:t xml:space="preserve">presented </w:t>
      </w:r>
      <w:r w:rsidR="005438DA" w:rsidRPr="00A45385">
        <w:rPr>
          <w:b/>
        </w:rPr>
        <w:t>in this</w:t>
      </w:r>
      <w:r w:rsidR="006C794D" w:rsidRPr="00A45385">
        <w:rPr>
          <w:b/>
        </w:rPr>
        <w:t xml:space="preserve"> specification</w:t>
      </w:r>
      <w:r w:rsidRPr="00A45385">
        <w:rPr>
          <w:b/>
        </w:rPr>
        <w:t>.</w:t>
      </w:r>
    </w:p>
    <w:p w:rsidR="0006084F" w:rsidRPr="00A45385" w:rsidRDefault="0006084F" w:rsidP="0006084F">
      <w:pPr>
        <w:ind w:left="720" w:hanging="720"/>
        <w:rPr>
          <w:b/>
        </w:rPr>
      </w:pPr>
    </w:p>
    <w:p w:rsidR="0006084F" w:rsidRPr="00A45385" w:rsidRDefault="0006084F" w:rsidP="0006084F">
      <w:pPr>
        <w:ind w:left="720"/>
      </w:pPr>
      <w:r w:rsidRPr="00A45385">
        <w:rPr>
          <w:b/>
        </w:rPr>
        <w:t xml:space="preserve">Verification </w:t>
      </w:r>
      <w:r w:rsidR="003B01F1" w:rsidRPr="00A45385">
        <w:rPr>
          <w:b/>
        </w:rPr>
        <w:t>Material</w:t>
      </w:r>
      <w:r w:rsidR="004E7008" w:rsidRPr="00A45385">
        <w:rPr>
          <w:b/>
        </w:rPr>
        <w:t>(s)</w:t>
      </w:r>
      <w:r w:rsidRPr="00A45385">
        <w:t>:</w:t>
      </w:r>
    </w:p>
    <w:p w:rsidR="0006084F" w:rsidRPr="00A45385" w:rsidRDefault="00443BD6" w:rsidP="00973F06">
      <w:pPr>
        <w:pStyle w:val="ListParagraph"/>
        <w:numPr>
          <w:ilvl w:val="2"/>
          <w:numId w:val="11"/>
        </w:numPr>
      </w:pPr>
      <w:r w:rsidRPr="00A45385">
        <w:t>6.1.1</w:t>
      </w:r>
      <w:r w:rsidR="0006084F" w:rsidRPr="00A45385">
        <w:t xml:space="preserve"> </w:t>
      </w:r>
      <w:r w:rsidR="002C17D4" w:rsidRPr="00A45385">
        <w:t xml:space="preserve">A </w:t>
      </w:r>
      <w:r w:rsidR="00BE3E7A" w:rsidRPr="00A45385">
        <w:t xml:space="preserve">document </w:t>
      </w:r>
      <w:r w:rsidR="002C17D4" w:rsidRPr="00A45385">
        <w:t>affirm</w:t>
      </w:r>
      <w:r w:rsidR="00BE3E7A" w:rsidRPr="00A45385">
        <w:t>ing</w:t>
      </w:r>
      <w:r w:rsidR="00FD0225" w:rsidRPr="00A45385">
        <w:t xml:space="preserve"> the</w:t>
      </w:r>
      <w:r w:rsidR="00C17887" w:rsidRPr="00A45385">
        <w:t xml:space="preserve"> </w:t>
      </w:r>
      <w:r w:rsidR="00F46D9C" w:rsidRPr="00A45385">
        <w:t xml:space="preserve">Program </w:t>
      </w:r>
      <w:r w:rsidR="00AA57DE" w:rsidRPr="00A45385">
        <w:t>specified</w:t>
      </w:r>
      <w:r w:rsidR="00F46D9C" w:rsidRPr="00A45385">
        <w:t xml:space="preserve"> in requirement 1.4 </w:t>
      </w:r>
      <w:r w:rsidR="003B7A0E" w:rsidRPr="00A45385">
        <w:t>satisfies</w:t>
      </w:r>
      <w:r w:rsidR="0006084F" w:rsidRPr="00A45385">
        <w:t xml:space="preserve"> all the re</w:t>
      </w:r>
      <w:r w:rsidR="005438DA" w:rsidRPr="00A45385">
        <w:t xml:space="preserve">quirements of this </w:t>
      </w:r>
      <w:r w:rsidR="00A45385">
        <w:t>specification</w:t>
      </w:r>
      <w:r w:rsidR="0006084F" w:rsidRPr="00A45385">
        <w:t>.</w:t>
      </w:r>
    </w:p>
    <w:p w:rsidR="00E739DB" w:rsidRPr="00A45385" w:rsidRDefault="00E739DB" w:rsidP="00E739DB">
      <w:pPr>
        <w:pStyle w:val="ListParagraph"/>
        <w:ind w:left="1080"/>
      </w:pPr>
    </w:p>
    <w:p w:rsidR="0006084F" w:rsidRPr="00A45385" w:rsidRDefault="0006084F" w:rsidP="0006084F">
      <w:pPr>
        <w:ind w:left="720"/>
      </w:pPr>
      <w:r w:rsidRPr="00A45385">
        <w:rPr>
          <w:b/>
        </w:rPr>
        <w:t>Rationale</w:t>
      </w:r>
      <w:r w:rsidRPr="00A45385">
        <w:t>:</w:t>
      </w:r>
    </w:p>
    <w:p w:rsidR="0006084F" w:rsidRPr="00A45385" w:rsidRDefault="0006084F" w:rsidP="0006084F">
      <w:pPr>
        <w:ind w:left="720"/>
      </w:pPr>
      <w:r w:rsidRPr="00A45385">
        <w:t>To ensure that if a</w:t>
      </w:r>
      <w:r w:rsidR="00C54186" w:rsidRPr="00A45385">
        <w:t>n organization declares that it has a</w:t>
      </w:r>
      <w:r w:rsidRPr="00A45385">
        <w:t xml:space="preserve"> program </w:t>
      </w:r>
      <w:r w:rsidR="00C54186" w:rsidRPr="00A45385">
        <w:t>that is</w:t>
      </w:r>
      <w:r w:rsidRPr="00A45385">
        <w:t xml:space="preserve"> OpenChain </w:t>
      </w:r>
      <w:r w:rsidR="00890AED" w:rsidRPr="00A45385">
        <w:t>Conforming</w:t>
      </w:r>
      <w:r w:rsidR="00C54186" w:rsidRPr="00A45385">
        <w:t>,</w:t>
      </w:r>
      <w:r w:rsidRPr="00A45385">
        <w:t xml:space="preserve"> that</w:t>
      </w:r>
      <w:r w:rsidR="00C54186" w:rsidRPr="00A45385">
        <w:t xml:space="preserve"> such program has met</w:t>
      </w:r>
      <w:r w:rsidRPr="00A45385">
        <w:t xml:space="preserve"> </w:t>
      </w:r>
      <w:r w:rsidRPr="00A45385">
        <w:rPr>
          <w:u w:val="single"/>
        </w:rPr>
        <w:t>all</w:t>
      </w:r>
      <w:r w:rsidRPr="00A45385">
        <w:t xml:space="preserve"> the requirements of this </w:t>
      </w:r>
      <w:r w:rsidR="002D624F" w:rsidRPr="00A45385">
        <w:t>specification</w:t>
      </w:r>
      <w:r w:rsidRPr="00A45385">
        <w:t xml:space="preserve">. </w:t>
      </w:r>
      <w:r w:rsidR="00C54186" w:rsidRPr="00A45385">
        <w:t>The mere meeting of</w:t>
      </w:r>
      <w:r w:rsidRPr="00A45385">
        <w:t xml:space="preserve"> </w:t>
      </w:r>
      <w:r w:rsidR="00C54186" w:rsidRPr="00A45385">
        <w:t>a</w:t>
      </w:r>
      <w:r w:rsidRPr="00A45385">
        <w:t xml:space="preserve"> subset of </w:t>
      </w:r>
      <w:r w:rsidR="00C9780D" w:rsidRPr="00A45385">
        <w:t xml:space="preserve">these </w:t>
      </w:r>
      <w:r w:rsidRPr="00A45385">
        <w:t>requirements</w:t>
      </w:r>
      <w:r w:rsidR="00C9780D" w:rsidRPr="00A45385">
        <w:t xml:space="preserve"> </w:t>
      </w:r>
      <w:r w:rsidR="00EE0036" w:rsidRPr="00A45385">
        <w:t xml:space="preserve">would </w:t>
      </w:r>
      <w:r w:rsidRPr="00A45385">
        <w:t xml:space="preserve">not </w:t>
      </w:r>
      <w:r w:rsidR="00EE0036" w:rsidRPr="00A45385">
        <w:t>be</w:t>
      </w:r>
      <w:r w:rsidR="00C54186" w:rsidRPr="00A45385">
        <w:t xml:space="preserve"> considered</w:t>
      </w:r>
      <w:r w:rsidR="00EE0036" w:rsidRPr="00A45385">
        <w:t xml:space="preserve"> </w:t>
      </w:r>
      <w:r w:rsidRPr="00A45385">
        <w:t xml:space="preserve">sufficient. </w:t>
      </w:r>
    </w:p>
    <w:p w:rsidR="00092D08" w:rsidRDefault="00092D08"/>
    <w:p w:rsidR="009B05FE" w:rsidRPr="00A45385" w:rsidRDefault="009B05FE"/>
    <w:p w:rsidR="00D749A7" w:rsidRPr="00A45385" w:rsidRDefault="00092D08" w:rsidP="00092D08">
      <w:pPr>
        <w:ind w:left="720" w:hanging="720"/>
        <w:rPr>
          <w:b/>
        </w:rPr>
      </w:pPr>
      <w:r w:rsidRPr="00A45385">
        <w:rPr>
          <w:b/>
          <w:sz w:val="24"/>
        </w:rPr>
        <w:t>6.2</w:t>
      </w:r>
      <w:r w:rsidRPr="00A45385">
        <w:rPr>
          <w:b/>
          <w:sz w:val="24"/>
        </w:rPr>
        <w:tab/>
      </w:r>
      <w:r w:rsidR="00D749A7" w:rsidRPr="00A45385">
        <w:rPr>
          <w:b/>
          <w:sz w:val="24"/>
        </w:rPr>
        <w:t>Duration</w:t>
      </w:r>
    </w:p>
    <w:p w:rsidR="00092D08" w:rsidRPr="00A45385" w:rsidRDefault="00F46D9C" w:rsidP="00D749A7">
      <w:pPr>
        <w:ind w:left="720"/>
        <w:rPr>
          <w:b/>
        </w:rPr>
      </w:pPr>
      <w:r w:rsidRPr="00A45385">
        <w:rPr>
          <w:b/>
        </w:rPr>
        <w:t>A Program that is OpenChain Conformant</w:t>
      </w:r>
      <w:r w:rsidR="00092D08" w:rsidRPr="00A45385">
        <w:rPr>
          <w:b/>
        </w:rPr>
        <w:t xml:space="preserve"> with this version of the specification will last 1</w:t>
      </w:r>
      <w:r w:rsidR="00EC14CC" w:rsidRPr="00A45385">
        <w:rPr>
          <w:b/>
        </w:rPr>
        <w:t>8</w:t>
      </w:r>
      <w:r w:rsidR="00092D08" w:rsidRPr="00A45385">
        <w:rPr>
          <w:b/>
        </w:rPr>
        <w:t xml:space="preserve"> months from </w:t>
      </w:r>
      <w:r w:rsidR="003C61C4" w:rsidRPr="00A45385">
        <w:rPr>
          <w:b/>
        </w:rPr>
        <w:t xml:space="preserve">the </w:t>
      </w:r>
      <w:r w:rsidR="00092D08" w:rsidRPr="00A45385">
        <w:rPr>
          <w:b/>
        </w:rPr>
        <w:t xml:space="preserve">date conformance validation was </w:t>
      </w:r>
      <w:r w:rsidR="00CD5085" w:rsidRPr="00A45385">
        <w:rPr>
          <w:b/>
        </w:rPr>
        <w:t>obtained</w:t>
      </w:r>
      <w:r w:rsidR="00092D08" w:rsidRPr="00A45385">
        <w:rPr>
          <w:b/>
        </w:rPr>
        <w:t xml:space="preserve">. </w:t>
      </w:r>
      <w:r w:rsidR="00CD5085" w:rsidRPr="00A45385">
        <w:rPr>
          <w:b/>
        </w:rPr>
        <w:t>The c</w:t>
      </w:r>
      <w:r w:rsidR="003C61C4" w:rsidRPr="00A45385">
        <w:rPr>
          <w:b/>
        </w:rPr>
        <w:t xml:space="preserve">onformance </w:t>
      </w:r>
      <w:r w:rsidR="00CD5085" w:rsidRPr="00A45385">
        <w:rPr>
          <w:b/>
        </w:rPr>
        <w:t xml:space="preserve">validation registration procedure </w:t>
      </w:r>
      <w:r w:rsidR="003C61C4" w:rsidRPr="00A45385">
        <w:rPr>
          <w:b/>
        </w:rPr>
        <w:t xml:space="preserve">can be </w:t>
      </w:r>
      <w:r w:rsidR="00930513" w:rsidRPr="00A45385">
        <w:rPr>
          <w:b/>
        </w:rPr>
        <w:t xml:space="preserve">found on the OpenChain project’s website. </w:t>
      </w:r>
    </w:p>
    <w:p w:rsidR="007B0354" w:rsidRPr="00A45385" w:rsidRDefault="007B0354" w:rsidP="00092D08">
      <w:pPr>
        <w:ind w:left="720" w:hanging="720"/>
        <w:rPr>
          <w:b/>
        </w:rPr>
      </w:pPr>
    </w:p>
    <w:p w:rsidR="00092D08" w:rsidRPr="00A45385" w:rsidRDefault="00092D08" w:rsidP="00092D08">
      <w:pPr>
        <w:ind w:left="720"/>
      </w:pPr>
      <w:r w:rsidRPr="00A45385">
        <w:rPr>
          <w:b/>
        </w:rPr>
        <w:t xml:space="preserve">Verification </w:t>
      </w:r>
      <w:r w:rsidR="003B01F1" w:rsidRPr="00A45385">
        <w:rPr>
          <w:b/>
        </w:rPr>
        <w:t>Material</w:t>
      </w:r>
      <w:r w:rsidRPr="00A45385">
        <w:rPr>
          <w:b/>
        </w:rPr>
        <w:t>(s)</w:t>
      </w:r>
      <w:r w:rsidRPr="00A45385">
        <w:t>:</w:t>
      </w:r>
    </w:p>
    <w:p w:rsidR="00092D08" w:rsidRPr="00A45385" w:rsidRDefault="00092D08" w:rsidP="008A0CA3">
      <w:pPr>
        <w:pStyle w:val="ListParagraph"/>
        <w:numPr>
          <w:ilvl w:val="2"/>
          <w:numId w:val="11"/>
        </w:numPr>
      </w:pPr>
      <w:r w:rsidRPr="00A45385">
        <w:t xml:space="preserve">6.2.1 </w:t>
      </w:r>
      <w:r w:rsidR="001D1E00" w:rsidRPr="00A45385">
        <w:t>A document affirming</w:t>
      </w:r>
      <w:r w:rsidR="00EC14CC" w:rsidRPr="00A45385">
        <w:t xml:space="preserve"> </w:t>
      </w:r>
      <w:r w:rsidR="00F46D9C" w:rsidRPr="00A45385">
        <w:t>the Program</w:t>
      </w:r>
      <w:r w:rsidR="00EC14CC" w:rsidRPr="00A45385">
        <w:t xml:space="preserve"> meets all the requirements of this </w:t>
      </w:r>
      <w:r w:rsidR="00A45385">
        <w:t>version of the specification (</w:t>
      </w:r>
      <w:r w:rsidR="00930513" w:rsidRPr="00A45385">
        <w:t xml:space="preserve">version </w:t>
      </w:r>
      <w:r w:rsidR="00CD5085" w:rsidRPr="00A45385">
        <w:t>2.0</w:t>
      </w:r>
      <w:r w:rsidR="00A45385">
        <w:t>),</w:t>
      </w:r>
      <w:r w:rsidR="00EC14CC" w:rsidRPr="00A45385">
        <w:t xml:space="preserve"> within the past 18 months</w:t>
      </w:r>
      <w:r w:rsidR="00930513" w:rsidRPr="00A45385">
        <w:t xml:space="preserve"> </w:t>
      </w:r>
      <w:r w:rsidR="003C61C4" w:rsidRPr="00A45385">
        <w:t xml:space="preserve">of </w:t>
      </w:r>
      <w:r w:rsidR="00CD5085" w:rsidRPr="00A45385">
        <w:t xml:space="preserve">obtaining </w:t>
      </w:r>
      <w:r w:rsidR="003C61C4" w:rsidRPr="00A45385">
        <w:t>conformance</w:t>
      </w:r>
      <w:r w:rsidR="002F3265" w:rsidRPr="00A45385">
        <w:t xml:space="preserve"> validation</w:t>
      </w:r>
      <w:r w:rsidR="003C61C4" w:rsidRPr="00A45385">
        <w:t>.</w:t>
      </w:r>
    </w:p>
    <w:p w:rsidR="00092D08" w:rsidRPr="00A45385" w:rsidRDefault="00092D08" w:rsidP="00092D08">
      <w:pPr>
        <w:pStyle w:val="ListParagraph"/>
        <w:ind w:left="1080"/>
      </w:pPr>
    </w:p>
    <w:p w:rsidR="00092D08" w:rsidRPr="00A45385" w:rsidRDefault="00092D08" w:rsidP="00092D08">
      <w:pPr>
        <w:ind w:left="720"/>
      </w:pPr>
      <w:r w:rsidRPr="00A45385">
        <w:rPr>
          <w:b/>
        </w:rPr>
        <w:t>Rationale</w:t>
      </w:r>
      <w:r w:rsidRPr="00A45385">
        <w:t>:</w:t>
      </w:r>
    </w:p>
    <w:p w:rsidR="00092D08" w:rsidRDefault="00192658" w:rsidP="00192658">
      <w:pPr>
        <w:ind w:left="720"/>
      </w:pPr>
      <w:r w:rsidRPr="00A45385">
        <w:t xml:space="preserve">It is important for the organization </w:t>
      </w:r>
      <w:r w:rsidR="003C61C4" w:rsidRPr="00A45385">
        <w:t xml:space="preserve">to </w:t>
      </w:r>
      <w:r w:rsidRPr="00A45385">
        <w:t>remain current with th</w:t>
      </w:r>
      <w:r w:rsidR="00302F97" w:rsidRPr="00A45385">
        <w:t xml:space="preserve">e specification if </w:t>
      </w:r>
      <w:r w:rsidR="008A0CA3" w:rsidRPr="00A45385">
        <w:t>that organization</w:t>
      </w:r>
      <w:r w:rsidR="008A0CA3" w:rsidRPr="00A45385" w:rsidDel="008A0CA3">
        <w:t xml:space="preserve"> </w:t>
      </w:r>
      <w:r w:rsidR="00302F97" w:rsidRPr="00A45385">
        <w:t>want</w:t>
      </w:r>
      <w:r w:rsidR="008A0CA3" w:rsidRPr="00A45385">
        <w:t>s</w:t>
      </w:r>
      <w:r w:rsidR="00302F97" w:rsidRPr="00A45385">
        <w:t xml:space="preserve"> </w:t>
      </w:r>
      <w:r w:rsidRPr="00A45385">
        <w:t xml:space="preserve">to assert </w:t>
      </w:r>
      <w:r w:rsidR="00C17887" w:rsidRPr="00A45385">
        <w:t xml:space="preserve">program </w:t>
      </w:r>
      <w:r w:rsidRPr="00A45385">
        <w:t>conformance over</w:t>
      </w:r>
      <w:r w:rsidR="00A2552A" w:rsidRPr="00A45385">
        <w:t xml:space="preserve"> </w:t>
      </w:r>
      <w:r w:rsidRPr="00A45385">
        <w:t xml:space="preserve">time. </w:t>
      </w:r>
      <w:r w:rsidR="003E5798" w:rsidRPr="00A45385">
        <w:t xml:space="preserve">This requirement ensures that the </w:t>
      </w:r>
      <w:r w:rsidR="006F117B" w:rsidRPr="00A45385">
        <w:t xml:space="preserve">program’s supporting processes and controls do not erode </w:t>
      </w:r>
      <w:r w:rsidR="008A0CA3" w:rsidRPr="00A45385">
        <w:t xml:space="preserve">if </w:t>
      </w:r>
      <w:r w:rsidR="000724E7" w:rsidRPr="00A45385">
        <w:t xml:space="preserve">an </w:t>
      </w:r>
      <w:r w:rsidR="008A0CA3" w:rsidRPr="00A45385">
        <w:t xml:space="preserve">organization </w:t>
      </w:r>
      <w:r w:rsidR="003E5798" w:rsidRPr="00A45385">
        <w:t>continue</w:t>
      </w:r>
      <w:r w:rsidR="008A0CA3" w:rsidRPr="00A45385">
        <w:t>s</w:t>
      </w:r>
      <w:r w:rsidR="003E5798" w:rsidRPr="00A45385">
        <w:t xml:space="preserve"> to assert </w:t>
      </w:r>
      <w:r w:rsidR="000724E7" w:rsidRPr="00A45385">
        <w:t xml:space="preserve">program </w:t>
      </w:r>
      <w:r w:rsidR="003E5798" w:rsidRPr="00A45385">
        <w:t>conformance over</w:t>
      </w:r>
      <w:r w:rsidR="001B08AF" w:rsidRPr="00A45385">
        <w:t xml:space="preserve"> </w:t>
      </w:r>
      <w:r w:rsidR="003E5798" w:rsidRPr="00A45385">
        <w:t>time.</w:t>
      </w:r>
    </w:p>
    <w:p w:rsidR="00AD56BC" w:rsidRDefault="00AD56BC" w:rsidP="00F04754">
      <w:r>
        <w:br w:type="page"/>
      </w:r>
    </w:p>
    <w:p w:rsidR="00AD56BC" w:rsidRPr="00302F97" w:rsidRDefault="00AD56BC" w:rsidP="00302F97">
      <w:pPr>
        <w:pStyle w:val="Heading1"/>
        <w:spacing w:before="60"/>
      </w:pPr>
      <w:bookmarkStart w:id="19" w:name="_Toc5054416"/>
      <w:r w:rsidRPr="00302F97">
        <w:lastRenderedPageBreak/>
        <w:t>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w:t>
      </w:r>
      <w:r w:rsidR="001432EF">
        <w:rPr>
          <w:rFonts w:cs="Arial"/>
          <w:shd w:val="clear" w:color="auto" w:fill="FFFFFF"/>
        </w:rPr>
        <w:t>different</w:t>
      </w:r>
      <w:r w:rsidR="001432EF" w:rsidRPr="00302F97">
        <w:rPr>
          <w:rFonts w:cs="Arial"/>
          <w:shd w:val="clear" w:color="auto" w:fill="FFFFFF"/>
        </w:rPr>
        <w:t xml:space="preserve"> </w:t>
      </w:r>
      <w:r w:rsidRPr="00302F97">
        <w:rPr>
          <w:rFonts w:cs="Arial"/>
          <w:shd w:val="clear" w:color="auto" w:fill="FFFFFF"/>
        </w:rPr>
        <w:t xml:space="preserve">languages. Because OpenChain functions as an open source project translations are </w:t>
      </w:r>
      <w:r w:rsidR="00023E03" w:rsidRPr="00302F97">
        <w:rPr>
          <w:rFonts w:cs="Arial"/>
          <w:shd w:val="clear" w:color="auto" w:fill="FFFFFF"/>
        </w:rPr>
        <w:t xml:space="preserve">driven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to perform translatio</w:t>
      </w:r>
      <w:r w:rsidR="00435701">
        <w:rPr>
          <w:rFonts w:cs="Arial"/>
          <w:shd w:val="clear" w:color="auto" w:fill="FFFFFF"/>
        </w:rPr>
        <w:t>ns under the terms of the CC-BY-</w:t>
      </w:r>
      <w:r w:rsidR="00023E03" w:rsidRPr="00302F97">
        <w:rPr>
          <w:rFonts w:cs="Arial"/>
          <w:shd w:val="clear" w:color="auto" w:fill="FFFFFF"/>
        </w:rPr>
        <w:t>4.0 license and 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OpenChain project </w:t>
      </w:r>
      <w:hyperlink r:id="rId13" w:history="1">
        <w:r w:rsidR="006D4B34" w:rsidRPr="00302F97">
          <w:rPr>
            <w:rStyle w:val="Hyperlink"/>
            <w:rFonts w:cs="Arial"/>
            <w:shd w:val="clear" w:color="auto" w:fill="FFFFFF"/>
          </w:rPr>
          <w:t>s</w:t>
        </w:r>
        <w:r w:rsidRPr="00302F97">
          <w:rPr>
            <w:rStyle w:val="Hyperlink"/>
            <w:rFonts w:cs="Arial"/>
            <w:shd w:val="clear" w:color="auto" w:fill="FFFFFF"/>
          </w:rPr>
          <w:t>pecification webpage</w:t>
        </w:r>
      </w:hyperlink>
      <w:r w:rsidR="00023E03" w:rsidRPr="00302F97">
        <w:rPr>
          <w:rFonts w:cs="Arial"/>
          <w:shd w:val="clear" w:color="auto" w:fill="FFFFFF"/>
        </w:rPr>
        <w:t>.</w:t>
      </w:r>
    </w:p>
    <w:sectPr w:rsidR="0006084F" w:rsidRPr="00302F97" w:rsidSect="00952DD6">
      <w:headerReference w:type="default" r:id="rId14"/>
      <w:foot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736" w:rsidRDefault="00EB5736" w:rsidP="00952DD6">
      <w:r>
        <w:separator/>
      </w:r>
    </w:p>
  </w:endnote>
  <w:endnote w:type="continuationSeparator" w:id="0">
    <w:p w:rsidR="00EB5736" w:rsidRDefault="00EB5736"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Footer"/>
          <w:pBdr>
            <w:bottom w:val="single" w:sz="6" w:space="1" w:color="auto"/>
          </w:pBdr>
          <w:jc w:val="right"/>
        </w:pPr>
      </w:p>
      <w:p w:rsidR="00B902F0" w:rsidRPr="00520E71" w:rsidRDefault="00B902F0" w:rsidP="00566F02">
        <w:pPr>
          <w:pStyle w:val="Footer"/>
          <w:jc w:val="right"/>
          <w:rPr>
            <w:sz w:val="16"/>
          </w:rPr>
        </w:pPr>
        <w:r w:rsidRPr="00520E71">
          <w:rPr>
            <w:sz w:val="16"/>
          </w:rPr>
          <w:t>201</w:t>
        </w:r>
        <w:r>
          <w:rPr>
            <w:sz w:val="16"/>
          </w:rPr>
          <w:t>9 a</w:t>
        </w:r>
      </w:p>
      <w:p w:rsidR="00B902F0" w:rsidRDefault="00B902F0">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35701">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35701">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736" w:rsidRDefault="00EB5736" w:rsidP="00952DD6">
      <w:r>
        <w:separator/>
      </w:r>
    </w:p>
  </w:footnote>
  <w:footnote w:type="continuationSeparator" w:id="0">
    <w:p w:rsidR="00EB5736" w:rsidRDefault="00EB5736" w:rsidP="00952DD6">
      <w:r>
        <w:continuationSeparator/>
      </w:r>
    </w:p>
  </w:footnote>
  <w:footnote w:id="1">
    <w:p w:rsidR="005B07BE" w:rsidRDefault="005B07BE">
      <w:pPr>
        <w:pStyle w:val="FootnoteText"/>
      </w:pPr>
      <w:r w:rsidRPr="00A45385">
        <w:rPr>
          <w:rStyle w:val="FootnoteReference"/>
        </w:rPr>
        <w:footnoteRef/>
      </w:r>
      <w:r w:rsidRPr="00A45385">
        <w:t xml:space="preserve"> determined by domain, legal jurisdiction and/or customer contracts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Header"/>
      <w:jc w:val="right"/>
    </w:pPr>
    <w:r w:rsidRPr="00DE626D">
      <w:rPr>
        <w:smallCaps/>
        <w:noProof/>
      </w:rPr>
      <mc:AlternateContent>
        <mc:Choice Requires="wps">
          <w:drawing>
            <wp:anchor distT="0" distB="0" distL="114300" distR="114300" simplePos="0" relativeHeight="251663360" behindDoc="0" locked="0" layoutInCell="1" allowOverlap="1" wp14:anchorId="5949209D" wp14:editId="65750897">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Specification </w:t>
    </w:r>
    <w:r>
      <w:rPr>
        <w:noProof/>
      </w:rPr>
      <w:drawing>
        <wp:anchor distT="0" distB="0" distL="114300" distR="114300" simplePos="0" relativeHeight="251659264" behindDoc="0" locked="0" layoutInCell="1" allowOverlap="1" wp14:anchorId="55D775BA" wp14:editId="45CC377D">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2.0 (DRAFT) </w:t>
    </w:r>
    <w:r w:rsidR="008A74DF">
      <w:t>rc2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6C35"/>
    <w:rsid w:val="005973DE"/>
    <w:rsid w:val="005A2DCF"/>
    <w:rsid w:val="005A2E9E"/>
    <w:rsid w:val="005B07BE"/>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9A"/>
    <w:rsid w:val="00BC4CCB"/>
    <w:rsid w:val="00BC5816"/>
    <w:rsid w:val="00BC6D1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linuxfoundation.org/openchain/spec-transl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ification-questions-and-answ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sts.linuxfoundation.org/mailman/listinfo/openchain-spe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7B05-1588-4E26-A3C5-38196CA5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WRSAdmin</cp:lastModifiedBy>
  <cp:revision>3</cp:revision>
  <cp:lastPrinted>2019-03-25T14:19:00Z</cp:lastPrinted>
  <dcterms:created xsi:type="dcterms:W3CDTF">2019-04-02T06:35:00Z</dcterms:created>
  <dcterms:modified xsi:type="dcterms:W3CDTF">2019-04-02T06:40:00Z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