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満たすべき要件</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FOSSに係る責任を理解している</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満たすべき要件</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FOSSに係る責任を理解している</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1.1供給されるソフトウェアの配布についてFOSSライセンスコンプライアンスを統制するFOSSポリシーが書面として存在していて、最低でも組織内でそれが伝わっていなければならない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1.1.1文書化されているFOSS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