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ind w:firstLine="720"/>
        <w:contextualSpacing w:val="0"/>
        <w:jc w:val="center"/>
        <w:rPr/>
      </w:pPr>
      <w:bookmarkStart w:colFirst="0" w:colLast="0" w:name="_6vlx6s7t70s6" w:id="0"/>
      <w:bookmarkEnd w:id="0"/>
      <w:r w:rsidDel="00000000" w:rsidR="00000000" w:rsidRPr="00000000">
        <w:rPr/>
        <w:drawing>
          <wp:inline distB="19050" distT="19050" distL="19050" distR="19050">
            <wp:extent cx="4110037" cy="22796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037" cy="227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ind w:firstLine="720"/>
        <w:contextualSpacing w:val="0"/>
        <w:jc w:val="center"/>
        <w:rPr/>
      </w:pPr>
      <w:bookmarkStart w:colFirst="0" w:colLast="0" w:name="_2dqzca2thy4j" w:id="1"/>
      <w:bookmarkEnd w:id="1"/>
      <w:r w:rsidDel="00000000" w:rsidR="00000000" w:rsidRPr="00000000">
        <w:rPr>
          <w:rFonts w:ascii="Calibri" w:cs="Calibri" w:eastAsia="Calibri" w:hAnsi="Calibri"/>
          <w:color w:val="00b4c2"/>
          <w:rtl w:val="0"/>
        </w:rPr>
        <w:t xml:space="preserve">For Managers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OpenChain Project identifies key recommended processes for effective open source management.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This reduces bottlenecks and risk when using third-party code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OpenChain can be explained in five sentences.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OpenChain Project makes open source license compliance simple and consistent in the supply chain.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OpenChain Specification defines the core requirements of a quality compliance program.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OpenChain Conformance helps organizations display adherence to these requirements.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OpenChain Curriculum provides basic open source processes and best practices.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result is open source license compliance becomes more predictable, understandable and efficient for the software supply chain.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OpenChain is building the industry standard for license compliance</w:t>
      </w:r>
      <w:r w:rsidDel="00000000" w:rsidR="00000000" w:rsidRPr="00000000">
        <w:rPr>
          <w:rtl w:val="0"/>
        </w:rPr>
        <w:t xml:space="preserve">. It can be understood as</w:t>
      </w:r>
      <w:r w:rsidDel="00000000" w:rsidR="00000000" w:rsidRPr="00000000">
        <w:rPr>
          <w:rtl w:val="0"/>
        </w:rPr>
        <w:t xml:space="preserve"> the foundation </w:t>
      </w:r>
      <w:r w:rsidDel="00000000" w:rsidR="00000000" w:rsidRPr="00000000">
        <w:rPr>
          <w:rtl w:val="0"/>
        </w:rPr>
        <w:t xml:space="preserve">for open source compliance in the supply chain. Engagement and adoption is simple, free and supported by a vibrant community backed by leading multinationals across multiple sectors.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