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32"/>
        </w:rPr>
        <w:t>Festival of Unusual Flavors</w:t>
      </w:r>
    </w:p>
    <w:p>
      <w:r>
        <w:rPr>
          <w:rFonts w:ascii="Arial" w:hAnsi="Arial"/>
          <w:sz w:val="22"/>
        </w:rPr>
        <w:t>Date: April 5, 2024</w:t>
      </w:r>
    </w:p>
    <w:p>
      <w:r>
        <w:rPr>
          <w:rFonts w:ascii="Arial" w:hAnsi="Arial"/>
          <w:sz w:val="22"/>
        </w:rPr>
        <w:t>Location: Garden of Delights, Willow Creek</w:t>
      </w:r>
    </w:p>
    <w:p>
      <w:pPr>
        <w:spacing w:before="160"/>
      </w:pPr>
      <w:r>
        <w:rPr>
          <w:rFonts w:ascii="Arial" w:hAnsi="Arial"/>
          <w:b/>
          <w:sz w:val="22"/>
        </w:rPr>
        <w:t>Exhibitors:</w:t>
      </w:r>
    </w:p>
    <w:p>
      <w:pPr>
        <w:pStyle w:val="ListBullet"/>
      </w:pPr>
      <w:r>
        <w:rPr>
          <w:rFonts w:ascii="Arial" w:hAnsi="Arial"/>
          <w:sz w:val="22"/>
        </w:rPr>
        <w:t>Epicurious Oddities – A booth featuring surprising fusion bites</w:t>
      </w:r>
    </w:p>
    <w:p>
      <w:pPr>
        <w:pStyle w:val="ListBullet"/>
      </w:pPr>
      <w:r>
        <w:rPr>
          <w:rFonts w:ascii="Arial" w:hAnsi="Arial"/>
          <w:sz w:val="22"/>
        </w:rPr>
        <w:t>Taste Buds Gone Wild – Tastings of inventive dishes and recipes</w:t>
      </w:r>
    </w:p>
    <w:p>
      <w:pPr>
        <w:pStyle w:val="ListBullet"/>
      </w:pPr>
      <w:r>
        <w:rPr>
          <w:rFonts w:ascii="Arial" w:hAnsi="Arial"/>
          <w:sz w:val="22"/>
        </w:rPr>
        <w:t>Flavor Bubble – A workshop for creating original drinks and non-alcoholic cocktails</w:t>
      </w:r>
    </w:p>
    <w:p>
      <w:pPr>
        <w:spacing w:before="160"/>
      </w:pPr>
      <w:r>
        <w:rPr>
          <w:rFonts w:ascii="Arial" w:hAnsi="Arial"/>
          <w:b/>
          <w:sz w:val="22"/>
        </w:rPr>
        <w:t>Planned activities:</w:t>
      </w:r>
    </w:p>
    <w:p>
      <w:pPr>
        <w:pStyle w:val="ListBullet"/>
      </w:pPr>
      <w:r>
        <w:rPr>
          <w:rFonts w:ascii="Arial" w:hAnsi="Arial"/>
          <w:sz w:val="22"/>
        </w:rPr>
        <w:t>Live tastings and cooking demonstrations</w:t>
      </w:r>
    </w:p>
    <w:p>
      <w:pPr>
        <w:pStyle w:val="ListBullet"/>
      </w:pPr>
      <w:r>
        <w:rPr>
          <w:rFonts w:ascii="Arial" w:hAnsi="Arial"/>
          <w:sz w:val="22"/>
        </w:rPr>
        <w:t>Mixology workshops and unusual recipe creations</w:t>
      </w:r>
    </w:p>
    <w:p>
      <w:pPr>
        <w:pStyle w:val="ListBullet"/>
      </w:pPr>
      <w:r>
        <w:rPr>
          <w:rFonts w:ascii="Arial" w:hAnsi="Arial"/>
          <w:sz w:val="22"/>
        </w:rPr>
        <w:t>Playful activities, including a food trivia quiz and cooking contest</w:t>
      </w:r>
    </w:p>
    <w:p>
      <w:pPr>
        <w:pStyle w:val="ListBullet"/>
      </w:pPr>
      <w:r>
        <w:rPr>
          <w:rFonts w:ascii="Arial" w:hAnsi="Arial"/>
          <w:sz w:val="22"/>
        </w:rPr>
        <w:t>Interactive booths where visitors create their own dish from mystery ingredients</w:t>
      </w:r>
    </w:p>
    <w:p>
      <w:pPr>
        <w:pStyle w:val="ListBullet"/>
      </w:pPr>
      <w:r>
        <w:rPr>
          <w:rFonts w:ascii="Arial" w:hAnsi="Arial"/>
          <w:sz w:val="22"/>
        </w:rPr>
        <w:t>Meet-and-greets with local chefs and discussions about culinary innovation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