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ind w:left="0" w:firstLine="0"/>
        <w:jc w:val="center"/>
        <w:rPr>
          <w:color w:val="075d1b"/>
          <w:sz w:val="48"/>
          <w:szCs w:val="48"/>
        </w:rPr>
      </w:pPr>
      <w:bookmarkStart w:colFirst="0" w:colLast="0" w:name="_h5losszbfia4" w:id="0"/>
      <w:bookmarkEnd w:id="0"/>
      <w:r w:rsidDel="00000000" w:rsidR="00000000" w:rsidRPr="00000000">
        <w:rPr>
          <w:color w:val="075d1b"/>
          <w:sz w:val="48"/>
          <w:szCs w:val="48"/>
          <w:rtl w:val="0"/>
        </w:rPr>
        <w:t xml:space="preserve">Accessibility Workshop - The Basics</w:t>
      </w:r>
    </w:p>
    <w:p w:rsidR="00000000" w:rsidDel="00000000" w:rsidP="00000000" w:rsidRDefault="00000000" w:rsidRPr="00000000" w14:paraId="00000002">
      <w:pPr>
        <w:spacing w:line="276" w:lineRule="auto"/>
        <w:jc w:val="left"/>
        <w:rPr/>
      </w:pPr>
      <w:r w:rsidDel="00000000" w:rsidR="00000000" w:rsidRPr="00000000">
        <w:rPr>
          <w:rtl w:val="0"/>
        </w:rPr>
      </w:r>
    </w:p>
    <w:tbl>
      <w:tblPr>
        <w:tblStyle w:val="Table1"/>
        <w:tblW w:w="8835.0" w:type="dxa"/>
        <w:jc w:val="left"/>
        <w:tblInd w:w="566.9291338582677" w:type="pct"/>
        <w:tblLayout w:type="fixed"/>
        <w:tblLook w:val="0600"/>
      </w:tblPr>
      <w:tblGrid>
        <w:gridCol w:w="6450"/>
        <w:gridCol w:w="2385"/>
        <w:tblGridChange w:id="0">
          <w:tblGrid>
            <w:gridCol w:w="6450"/>
            <w:gridCol w:w="2385"/>
          </w:tblGrid>
        </w:tblGridChange>
      </w:tblGrid>
      <w:tr>
        <w:trPr>
          <w:trHeight w:val="5040" w:hRule="atLeast"/>
        </w:trPr>
        <w:tc>
          <w:tcPr>
            <w:gridSpan w:val="2"/>
            <w:vMerge w:val="restart"/>
            <w:shd w:fill="f3f3f3" w:val="clear"/>
            <w:tcMar>
              <w:top w:w="566.9291338582677" w:type="dxa"/>
              <w:left w:w="566.9291338582677" w:type="dxa"/>
              <w:bottom w:w="566.9291338582677" w:type="dxa"/>
              <w:right w:w="566.9291338582677" w:type="dxa"/>
            </w:tcMar>
            <w:vAlign w:val="top"/>
          </w:tcPr>
          <w:p w:rsidR="00000000" w:rsidDel="00000000" w:rsidP="00000000" w:rsidRDefault="00000000" w:rsidRPr="00000000" w14:paraId="00000003">
            <w:pPr>
              <w:spacing w:line="276" w:lineRule="auto"/>
              <w:jc w:val="left"/>
              <w:rPr>
                <w:sz w:val="24"/>
                <w:szCs w:val="24"/>
              </w:rPr>
            </w:pPr>
            <w:r w:rsidDel="00000000" w:rsidR="00000000" w:rsidRPr="00000000">
              <w:rPr>
                <w:sz w:val="24"/>
                <w:szCs w:val="24"/>
                <w:rtl w:val="0"/>
              </w:rPr>
              <w:t xml:space="preserve">According to Statistics Canada an estimated </w:t>
            </w:r>
            <w:hyperlink r:id="rId6">
              <w:r w:rsidDel="00000000" w:rsidR="00000000" w:rsidRPr="00000000">
                <w:rPr>
                  <w:color w:val="1155cc"/>
                  <w:sz w:val="24"/>
                  <w:szCs w:val="24"/>
                  <w:u w:val="single"/>
                  <w:rtl w:val="0"/>
                </w:rPr>
                <w:t xml:space="preserve">one in five Canadians over 15 years old has a disability</w:t>
              </w:r>
            </w:hyperlink>
            <w:r w:rsidDel="00000000" w:rsidR="00000000" w:rsidRPr="00000000">
              <w:rPr>
                <w:sz w:val="24"/>
                <w:szCs w:val="24"/>
                <w:rtl w:val="0"/>
              </w:rPr>
              <w:t xml:space="preserve">. This slices through all sectors of our society and is a significant part of every community in our country. </w:t>
            </w:r>
            <w:r w:rsidDel="00000000" w:rsidR="00000000" w:rsidRPr="00000000">
              <w:drawing>
                <wp:anchor allowOverlap="1" behindDoc="0" distB="114300" distT="114300" distL="114300" distR="114300" hidden="0" layoutInCell="1" locked="0" relativeHeight="0" simplePos="0">
                  <wp:simplePos x="0" y="0"/>
                  <wp:positionH relativeFrom="column">
                    <wp:posOffset>2835175</wp:posOffset>
                  </wp:positionH>
                  <wp:positionV relativeFrom="paragraph">
                    <wp:posOffset>47626</wp:posOffset>
                  </wp:positionV>
                  <wp:extent cx="1936850" cy="24812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36850" cy="2481263"/>
                          </a:xfrm>
                          <a:prstGeom prst="rect"/>
                          <a:ln/>
                        </pic:spPr>
                      </pic:pic>
                    </a:graphicData>
                  </a:graphic>
                </wp:anchor>
              </w:drawing>
            </w:r>
          </w:p>
          <w:p w:rsidR="00000000" w:rsidDel="00000000" w:rsidP="00000000" w:rsidRDefault="00000000" w:rsidRPr="00000000" w14:paraId="00000004">
            <w:pPr>
              <w:spacing w:line="276" w:lineRule="auto"/>
              <w:jc w:val="left"/>
              <w:rPr>
                <w:sz w:val="24"/>
                <w:szCs w:val="24"/>
              </w:rPr>
            </w:pPr>
            <w:r w:rsidDel="00000000" w:rsidR="00000000" w:rsidRPr="00000000">
              <w:rPr>
                <w:rtl w:val="0"/>
              </w:rPr>
            </w:r>
          </w:p>
          <w:p w:rsidR="00000000" w:rsidDel="00000000" w:rsidP="00000000" w:rsidRDefault="00000000" w:rsidRPr="00000000" w14:paraId="00000005">
            <w:pPr>
              <w:spacing w:line="276" w:lineRule="auto"/>
              <w:jc w:val="left"/>
              <w:rPr>
                <w:sz w:val="24"/>
                <w:szCs w:val="24"/>
              </w:rPr>
            </w:pPr>
            <w:r w:rsidDel="00000000" w:rsidR="00000000" w:rsidRPr="00000000">
              <w:rPr>
                <w:sz w:val="24"/>
                <w:szCs w:val="24"/>
                <w:rtl w:val="0"/>
              </w:rPr>
              <w:t xml:space="preserve">Often people with disabilities face problems with either the built environment (atoms) or digital tools (bits). Some struggle with both. Accessibility of digital assets (like websites, intranet sites, documents and videos) is complicated. </w:t>
            </w:r>
          </w:p>
          <w:p w:rsidR="00000000" w:rsidDel="00000000" w:rsidP="00000000" w:rsidRDefault="00000000" w:rsidRPr="00000000" w14:paraId="00000006">
            <w:pPr>
              <w:spacing w:line="276" w:lineRule="auto"/>
              <w:jc w:val="left"/>
              <w:rPr>
                <w:sz w:val="24"/>
                <w:szCs w:val="24"/>
              </w:rPr>
            </w:pPr>
            <w:r w:rsidDel="00000000" w:rsidR="00000000" w:rsidRPr="00000000">
              <w:rPr>
                <w:rtl w:val="0"/>
              </w:rPr>
            </w:r>
          </w:p>
          <w:p w:rsidR="00000000" w:rsidDel="00000000" w:rsidP="00000000" w:rsidRDefault="00000000" w:rsidRPr="00000000" w14:paraId="00000007">
            <w:pPr>
              <w:spacing w:line="276" w:lineRule="auto"/>
              <w:jc w:val="left"/>
              <w:rPr/>
            </w:pPr>
            <w:r w:rsidDel="00000000" w:rsidR="00000000" w:rsidRPr="00000000">
              <w:rPr>
                <w:sz w:val="24"/>
                <w:szCs w:val="24"/>
                <w:rtl w:val="0"/>
              </w:rPr>
              <w:t xml:space="preserve">People who are blind or or low vision come to mind when people think about digital accessibility, but it affects a much broader spectrum than just those with visual disabilities. People with aural, mobility and cognitive disabilities also benefit from good accessibility. </w:t>
            </w:r>
            <w:r w:rsidDel="00000000" w:rsidR="00000000" w:rsidRPr="00000000">
              <w:rPr>
                <w:rtl w:val="0"/>
              </w:rPr>
            </w:r>
          </w:p>
          <w:p w:rsidR="00000000" w:rsidDel="00000000" w:rsidP="00000000" w:rsidRDefault="00000000" w:rsidRPr="00000000" w14:paraId="00000008">
            <w:pPr>
              <w:spacing w:line="276" w:lineRule="auto"/>
              <w:jc w:val="left"/>
              <w:rPr>
                <w:sz w:val="24"/>
                <w:szCs w:val="24"/>
              </w:rPr>
            </w:pPr>
            <w:r w:rsidDel="00000000" w:rsidR="00000000" w:rsidRPr="00000000">
              <w:rPr>
                <w:sz w:val="24"/>
                <w:szCs w:val="24"/>
                <w:rtl w:val="0"/>
              </w:rPr>
              <w:t xml:space="preserve">A well designed site is an accessible site. Certainly people with permanent disabilities benefit, but so do those with temporary or situational disabilities. Modern life often means that we are trying to juggle interactions with the digital world even when we are injured or are using our technology in less than ideal conditions. </w:t>
            </w:r>
          </w:p>
          <w:p w:rsidR="00000000" w:rsidDel="00000000" w:rsidP="00000000" w:rsidRDefault="00000000" w:rsidRPr="00000000" w14:paraId="00000009">
            <w:pPr>
              <w:spacing w:line="276" w:lineRule="auto"/>
              <w:jc w:val="left"/>
              <w:rPr>
                <w:sz w:val="24"/>
                <w:szCs w:val="24"/>
              </w:rPr>
            </w:pPr>
            <w:r w:rsidDel="00000000" w:rsidR="00000000" w:rsidRPr="00000000">
              <w:rPr>
                <w:rtl w:val="0"/>
              </w:rPr>
            </w:r>
          </w:p>
          <w:p w:rsidR="00000000" w:rsidDel="00000000" w:rsidP="00000000" w:rsidRDefault="00000000" w:rsidRPr="00000000" w14:paraId="0000000A">
            <w:pPr>
              <w:spacing w:line="276" w:lineRule="auto"/>
              <w:jc w:val="left"/>
              <w:rPr>
                <w:b w:val="1"/>
                <w:sz w:val="24"/>
                <w:szCs w:val="24"/>
              </w:rPr>
            </w:pPr>
            <w:r w:rsidDel="00000000" w:rsidR="00000000" w:rsidRPr="00000000">
              <w:rPr>
                <w:sz w:val="24"/>
                <w:szCs w:val="24"/>
                <w:rtl w:val="0"/>
              </w:rPr>
              <w:t xml:space="preserve">All of us want to make our digital tools more accessible, but most lack the skills to even identify the problems. </w:t>
            </w:r>
            <w:r w:rsidDel="00000000" w:rsidR="00000000" w:rsidRPr="00000000">
              <w:rPr>
                <w:b w:val="1"/>
                <w:sz w:val="24"/>
                <w:szCs w:val="24"/>
                <w:rtl w:val="0"/>
              </w:rPr>
              <w:t xml:space="preserve">This workshop is designed to change that.</w:t>
            </w:r>
            <w:r w:rsidDel="00000000" w:rsidR="00000000" w:rsidRPr="00000000">
              <w:rPr>
                <w:b w:val="1"/>
                <w:rtl w:val="0"/>
              </w:rPr>
              <w:t xml:space="preserve"> </w:t>
            </w:r>
            <w:r w:rsidDel="00000000" w:rsidR="00000000" w:rsidRPr="00000000">
              <w:rPr>
                <w:rtl w:val="0"/>
              </w:rPr>
            </w:r>
          </w:p>
        </w:tc>
      </w:tr>
      <w:tr>
        <w:trPr>
          <w:trHeight w:val="2760" w:hRule="atLeast"/>
        </w:trPr>
        <w:tc>
          <w:tcPr>
            <w:gridSpan w:val="2"/>
            <w:vMerge w:val="continue"/>
            <w:shd w:fill="f3f3f3" w:val="clear"/>
            <w:tcMar>
              <w:top w:w="566.9291338582677" w:type="dxa"/>
              <w:left w:w="566.9291338582677" w:type="dxa"/>
              <w:bottom w:w="566.9291338582677" w:type="dxa"/>
              <w:right w:w="566.9291338582677" w:type="dxa"/>
            </w:tcMar>
            <w:vAlign w:val="top"/>
          </w:tcPr>
          <w:p w:rsidR="00000000" w:rsidDel="00000000" w:rsidP="00000000" w:rsidRDefault="00000000" w:rsidRPr="00000000" w14:paraId="0000000C">
            <w:pPr>
              <w:spacing w:after="0" w:before="0" w:line="240" w:lineRule="auto"/>
              <w:ind w:left="0" w:firstLine="0"/>
              <w:jc w:val="left"/>
              <w:rPr>
                <w:sz w:val="24"/>
                <w:szCs w:val="24"/>
              </w:rPr>
            </w:pPr>
            <w:r w:rsidDel="00000000" w:rsidR="00000000" w:rsidRPr="00000000">
              <w:rPr>
                <w:rtl w:val="0"/>
              </w:rPr>
            </w:r>
          </w:p>
        </w:tc>
      </w:tr>
    </w:tbl>
    <w:p w:rsidR="00000000" w:rsidDel="00000000" w:rsidP="00000000" w:rsidRDefault="00000000" w:rsidRPr="00000000" w14:paraId="0000000E">
      <w:pPr>
        <w:spacing w:line="276" w:lineRule="auto"/>
        <w:jc w:val="left"/>
        <w:rPr/>
      </w:pPr>
      <w:r w:rsidDel="00000000" w:rsidR="00000000" w:rsidRPr="00000000">
        <w:rPr>
          <w:rtl w:val="0"/>
        </w:rPr>
      </w:r>
    </w:p>
    <w:p w:rsidR="00000000" w:rsidDel="00000000" w:rsidP="00000000" w:rsidRDefault="00000000" w:rsidRPr="00000000" w14:paraId="0000000F">
      <w:pPr>
        <w:pStyle w:val="Heading2"/>
        <w:spacing w:line="276" w:lineRule="auto"/>
        <w:jc w:val="left"/>
        <w:rPr>
          <w:color w:val="037fb0"/>
        </w:rPr>
      </w:pPr>
      <w:bookmarkStart w:colFirst="0" w:colLast="0" w:name="_isnw2j79h57i" w:id="1"/>
      <w:bookmarkEnd w:id="1"/>
      <w:r w:rsidDel="00000000" w:rsidR="00000000" w:rsidRPr="00000000">
        <w:rPr>
          <w:color w:val="037fb0"/>
          <w:rtl w:val="0"/>
        </w:rPr>
        <w:t xml:space="preserve">Building Awareness</w:t>
      </w:r>
    </w:p>
    <w:p w:rsidR="00000000" w:rsidDel="00000000" w:rsidP="00000000" w:rsidRDefault="00000000" w:rsidRPr="00000000" w14:paraId="00000010">
      <w:pPr>
        <w:spacing w:line="276" w:lineRule="auto"/>
        <w:jc w:val="left"/>
        <w:rPr>
          <w:sz w:val="24"/>
          <w:szCs w:val="24"/>
        </w:rPr>
      </w:pPr>
      <w:r w:rsidDel="00000000" w:rsidR="00000000" w:rsidRPr="00000000">
        <w:rPr>
          <w:sz w:val="24"/>
          <w:szCs w:val="24"/>
          <w:rtl w:val="0"/>
        </w:rPr>
        <w:t xml:space="preserve">Digital accessibility is complex. Technology is changing constantly, as are the standards and best practices that industry is working with. Browsers and assistive technology get updates but so to are the ways that we use them. Web content reflects the whole organization and usually people from across the department are engaged in seeing that they are represented online. </w:t>
      </w:r>
    </w:p>
    <w:p w:rsidR="00000000" w:rsidDel="00000000" w:rsidP="00000000" w:rsidRDefault="00000000" w:rsidRPr="00000000" w14:paraId="00000011">
      <w:pPr>
        <w:spacing w:line="276" w:lineRule="auto"/>
        <w:jc w:val="left"/>
        <w:rPr>
          <w:sz w:val="24"/>
          <w:szCs w:val="24"/>
        </w:rPr>
      </w:pPr>
      <w:r w:rsidDel="00000000" w:rsidR="00000000" w:rsidRPr="00000000">
        <w:rPr>
          <w:rtl w:val="0"/>
        </w:rPr>
      </w:r>
    </w:p>
    <w:p w:rsidR="00000000" w:rsidDel="00000000" w:rsidP="00000000" w:rsidRDefault="00000000" w:rsidRPr="00000000" w14:paraId="00000012">
      <w:pPr>
        <w:spacing w:line="276" w:lineRule="auto"/>
        <w:jc w:val="left"/>
        <w:rPr>
          <w:sz w:val="24"/>
          <w:szCs w:val="24"/>
        </w:rPr>
      </w:pPr>
      <w:r w:rsidDel="00000000" w:rsidR="00000000" w:rsidRPr="00000000">
        <w:rPr>
          <w:sz w:val="24"/>
          <w:szCs w:val="24"/>
          <w:rtl w:val="0"/>
        </w:rPr>
        <w:t xml:space="preserve">Historically, organizations have picked an accessibility lead to approve and validate pages for accessibility before they are published. This is almost always a thankless, and challenging role. Accessibility can no longer be left as yet another step in quality assurance process. </w:t>
      </w:r>
    </w:p>
    <w:p w:rsidR="00000000" w:rsidDel="00000000" w:rsidP="00000000" w:rsidRDefault="00000000" w:rsidRPr="00000000" w14:paraId="00000013">
      <w:pPr>
        <w:spacing w:line="276" w:lineRule="auto"/>
        <w:jc w:val="left"/>
        <w:rPr>
          <w:sz w:val="24"/>
          <w:szCs w:val="24"/>
        </w:rPr>
      </w:pPr>
      <w:r w:rsidDel="00000000" w:rsidR="00000000" w:rsidRPr="00000000">
        <w:rPr>
          <w:rtl w:val="0"/>
        </w:rPr>
      </w:r>
    </w:p>
    <w:p w:rsidR="00000000" w:rsidDel="00000000" w:rsidP="00000000" w:rsidRDefault="00000000" w:rsidRPr="00000000" w14:paraId="00000014">
      <w:pPr>
        <w:spacing w:line="276" w:lineRule="auto"/>
        <w:jc w:val="left"/>
        <w:rPr>
          <w:color w:val="000000"/>
          <w:sz w:val="24"/>
          <w:szCs w:val="24"/>
        </w:rPr>
      </w:pPr>
      <w:r w:rsidDel="00000000" w:rsidR="00000000" w:rsidRPr="00000000">
        <w:rPr>
          <w:sz w:val="24"/>
          <w:szCs w:val="24"/>
          <w:rtl w:val="0"/>
        </w:rPr>
        <w:t xml:space="preserve">Fortunately, there are better processes that allow even non-technical users to catch accessibility barriers before citizens do. </w:t>
      </w:r>
      <w:r w:rsidDel="00000000" w:rsidR="00000000" w:rsidRPr="00000000">
        <w:rPr>
          <w:rtl w:val="0"/>
        </w:rPr>
      </w:r>
    </w:p>
    <w:p w:rsidR="00000000" w:rsidDel="00000000" w:rsidP="00000000" w:rsidRDefault="00000000" w:rsidRPr="00000000" w14:paraId="00000015">
      <w:pPr>
        <w:spacing w:line="276" w:lineRule="auto"/>
        <w:jc w:val="left"/>
        <w:rPr/>
      </w:pPr>
      <w:r w:rsidDel="00000000" w:rsidR="00000000" w:rsidRPr="00000000">
        <w:rPr>
          <w:rtl w:val="0"/>
        </w:rPr>
      </w:r>
    </w:p>
    <w:tbl>
      <w:tblPr>
        <w:tblStyle w:val="Table2"/>
        <w:tblW w:w="8835.0" w:type="dxa"/>
        <w:jc w:val="left"/>
        <w:tblInd w:w="566.9291338582677" w:type="pct"/>
        <w:tblLayout w:type="fixed"/>
        <w:tblLook w:val="0600"/>
      </w:tblPr>
      <w:tblGrid>
        <w:gridCol w:w="2010"/>
        <w:gridCol w:w="6825"/>
        <w:tblGridChange w:id="0">
          <w:tblGrid>
            <w:gridCol w:w="2010"/>
            <w:gridCol w:w="6825"/>
          </w:tblGrid>
        </w:tblGridChange>
      </w:tblGrid>
      <w:tr>
        <w:trPr>
          <w:trHeight w:val="420" w:hRule="atLeast"/>
        </w:trPr>
        <w:tc>
          <w:tcPr>
            <w:gridSpan w:val="2"/>
            <w:vMerge w:val="restart"/>
            <w:shd w:fill="fbfff2" w:val="clear"/>
            <w:tcMar>
              <w:top w:w="566.9291338582677" w:type="dxa"/>
              <w:left w:w="566.9291338582677" w:type="dxa"/>
              <w:bottom w:w="566.9291338582677" w:type="dxa"/>
              <w:right w:w="566.9291338582677" w:type="dxa"/>
            </w:tcMar>
            <w:vAlign w:val="top"/>
          </w:tcPr>
          <w:p w:rsidR="00000000" w:rsidDel="00000000" w:rsidP="00000000" w:rsidRDefault="00000000" w:rsidRPr="00000000" w14:paraId="00000016">
            <w:pPr>
              <w:pStyle w:val="Heading2"/>
              <w:spacing w:line="276" w:lineRule="auto"/>
              <w:ind w:left="0" w:firstLine="0"/>
              <w:jc w:val="left"/>
              <w:rPr>
                <w:color w:val="434343"/>
              </w:rPr>
            </w:pPr>
            <w:bookmarkStart w:colFirst="0" w:colLast="0" w:name="_t4mr89hyupoi" w:id="2"/>
            <w:bookmarkEnd w:id="2"/>
            <w:r w:rsidDel="00000000" w:rsidR="00000000" w:rsidRPr="00000000">
              <w:rPr>
                <w:color w:val="434343"/>
                <w:rtl w:val="0"/>
              </w:rPr>
              <w:t xml:space="preserve">Simple Tools &amp; Techniques</w:t>
            </w:r>
          </w:p>
          <w:p w:rsidR="00000000" w:rsidDel="00000000" w:rsidP="00000000" w:rsidRDefault="00000000" w:rsidRPr="00000000" w14:paraId="00000017">
            <w:pPr>
              <w:spacing w:line="276" w:lineRule="auto"/>
              <w:jc w:val="left"/>
              <w:rPr/>
            </w:pPr>
            <w:r w:rsidDel="00000000" w:rsidR="00000000" w:rsidRPr="00000000">
              <w:rPr>
                <w:sz w:val="24"/>
                <w:szCs w:val="24"/>
                <w:rtl w:val="0"/>
              </w:rPr>
              <w:t xml:space="preserve">With popular automated accessibility tools and very basic keyboard testing it is possible to find WCAG 2.0 AA problems in most websites and intranets. When basic accessibility education is distributed in a team it is easier to catch problems earlier and fix them faster.  We are confident that to best implement the Accessible Canada Act, organizations need people across the organization with the confidence to do basic reviews. When basic tools and training is available to more people across the organization accessibility becomes easier. Ideally, everyone who engages with an organization’s digital assets can play a role.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2402523</wp:posOffset>
                  </wp:positionH>
                  <wp:positionV relativeFrom="paragraph">
                    <wp:posOffset>1326879</wp:posOffset>
                  </wp:positionV>
                  <wp:extent cx="2579053" cy="1759221"/>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79053" cy="1759221"/>
                          </a:xfrm>
                          <a:prstGeom prst="rect"/>
                          <a:ln/>
                        </pic:spPr>
                      </pic:pic>
                    </a:graphicData>
                  </a:graphic>
                </wp:anchor>
              </w:drawing>
            </w:r>
          </w:p>
        </w:tc>
      </w:tr>
      <w:tr>
        <w:trPr>
          <w:trHeight w:val="420" w:hRule="atLeast"/>
        </w:trPr>
        <w:tc>
          <w:tcPr>
            <w:gridSpan w:val="2"/>
            <w:vMerge w:val="continue"/>
            <w:shd w:fill="fbfff2" w:val="clear"/>
            <w:tcMar>
              <w:top w:w="566.9291338582677" w:type="dxa"/>
              <w:left w:w="566.9291338582677" w:type="dxa"/>
              <w:bottom w:w="566.9291338582677" w:type="dxa"/>
              <w:right w:w="566.9291338582677" w:type="dxa"/>
            </w:tcMar>
            <w:vAlign w:val="top"/>
          </w:tcPr>
          <w:p w:rsidR="00000000" w:rsidDel="00000000" w:rsidP="00000000" w:rsidRDefault="00000000" w:rsidRPr="00000000" w14:paraId="00000019">
            <w:pPr>
              <w:spacing w:after="0" w:before="0" w:line="240" w:lineRule="auto"/>
              <w:ind w:left="0" w:firstLine="0"/>
              <w:jc w:val="left"/>
              <w:rPr/>
            </w:pPr>
            <w:r w:rsidDel="00000000" w:rsidR="00000000" w:rsidRPr="00000000">
              <w:rPr>
                <w:rtl w:val="0"/>
              </w:rPr>
            </w:r>
          </w:p>
        </w:tc>
      </w:tr>
    </w:tbl>
    <w:p w:rsidR="00000000" w:rsidDel="00000000" w:rsidP="00000000" w:rsidRDefault="00000000" w:rsidRPr="00000000" w14:paraId="0000001B">
      <w:pPr>
        <w:spacing w:line="276" w:lineRule="auto"/>
        <w:jc w:val="left"/>
        <w:rPr/>
      </w:pPr>
      <w:r w:rsidDel="00000000" w:rsidR="00000000" w:rsidRPr="00000000">
        <w:rPr>
          <w:rtl w:val="0"/>
        </w:rPr>
      </w:r>
    </w:p>
    <w:p w:rsidR="00000000" w:rsidDel="00000000" w:rsidP="00000000" w:rsidRDefault="00000000" w:rsidRPr="00000000" w14:paraId="0000001C">
      <w:pPr>
        <w:pStyle w:val="Heading2"/>
        <w:spacing w:line="276" w:lineRule="auto"/>
        <w:ind w:left="0" w:firstLine="0"/>
        <w:jc w:val="left"/>
        <w:rPr>
          <w:color w:val="434343"/>
        </w:rPr>
      </w:pPr>
      <w:bookmarkStart w:colFirst="0" w:colLast="0" w:name="_d6hwikq373fo" w:id="3"/>
      <w:bookmarkEnd w:id="3"/>
      <w:r w:rsidDel="00000000" w:rsidR="00000000" w:rsidRPr="00000000">
        <w:rPr>
          <w:color w:val="434343"/>
          <w:rtl w:val="0"/>
        </w:rPr>
        <w:t xml:space="preserve">Our One Day Course</w:t>
      </w:r>
    </w:p>
    <w:p w:rsidR="00000000" w:rsidDel="00000000" w:rsidP="00000000" w:rsidRDefault="00000000" w:rsidRPr="00000000" w14:paraId="0000001D">
      <w:pPr>
        <w:spacing w:line="276" w:lineRule="auto"/>
        <w:jc w:val="left"/>
        <w:rPr>
          <w:sz w:val="24"/>
          <w:szCs w:val="24"/>
        </w:rPr>
      </w:pPr>
      <w:r w:rsidDel="00000000" w:rsidR="00000000" w:rsidRPr="00000000">
        <w:rPr>
          <w:sz w:val="24"/>
          <w:szCs w:val="24"/>
          <w:rtl w:val="0"/>
        </w:rPr>
        <w:t xml:space="preserve">In response to this we have built a one day workshop that is available to interested individuals. In a day we will be able to give both technical and non-technical people direction on what they can do to run basic accessibility reviews with confidence. </w:t>
      </w:r>
    </w:p>
    <w:p w:rsidR="00000000" w:rsidDel="00000000" w:rsidP="00000000" w:rsidRDefault="00000000" w:rsidRPr="00000000" w14:paraId="0000001E">
      <w:pPr>
        <w:spacing w:line="276" w:lineRule="auto"/>
        <w:jc w:val="left"/>
        <w:rPr>
          <w:sz w:val="24"/>
          <w:szCs w:val="24"/>
        </w:rPr>
      </w:pPr>
      <w:r w:rsidDel="00000000" w:rsidR="00000000" w:rsidRPr="00000000">
        <w:rPr>
          <w:rtl w:val="0"/>
        </w:rPr>
      </w:r>
    </w:p>
    <w:p w:rsidR="00000000" w:rsidDel="00000000" w:rsidP="00000000" w:rsidRDefault="00000000" w:rsidRPr="00000000" w14:paraId="0000001F">
      <w:pPr>
        <w:spacing w:line="276" w:lineRule="auto"/>
        <w:jc w:val="left"/>
        <w:rPr>
          <w:sz w:val="24"/>
          <w:szCs w:val="24"/>
        </w:rPr>
      </w:pPr>
      <w:r w:rsidDel="00000000" w:rsidR="00000000" w:rsidRPr="00000000">
        <w:rPr>
          <w:sz w:val="24"/>
          <w:szCs w:val="24"/>
          <w:rtl w:val="0"/>
        </w:rPr>
        <w:t xml:space="preserve">We have found that by involving more people in accessibility practices, the requirements of the Canada Accessibility Act can be met more easily. This is a net benefit to all Canadians. Content creators, designers, programmers and decision makers all have a role to play.</w:t>
      </w:r>
    </w:p>
    <w:p w:rsidR="00000000" w:rsidDel="00000000" w:rsidP="00000000" w:rsidRDefault="00000000" w:rsidRPr="00000000" w14:paraId="00000020">
      <w:pPr>
        <w:spacing w:line="276" w:lineRule="auto"/>
        <w:jc w:val="left"/>
        <w:rPr>
          <w:sz w:val="24"/>
          <w:szCs w:val="24"/>
        </w:rPr>
      </w:pPr>
      <w:r w:rsidDel="00000000" w:rsidR="00000000" w:rsidRPr="00000000">
        <w:rPr>
          <w:rtl w:val="0"/>
        </w:rPr>
      </w:r>
    </w:p>
    <w:p w:rsidR="00000000" w:rsidDel="00000000" w:rsidP="00000000" w:rsidRDefault="00000000" w:rsidRPr="00000000" w14:paraId="00000021">
      <w:pPr>
        <w:spacing w:line="276" w:lineRule="auto"/>
        <w:jc w:val="left"/>
        <w:rPr>
          <w:sz w:val="24"/>
          <w:szCs w:val="24"/>
        </w:rPr>
      </w:pPr>
      <w:r w:rsidDel="00000000" w:rsidR="00000000" w:rsidRPr="00000000">
        <w:rPr>
          <w:sz w:val="24"/>
          <w:szCs w:val="24"/>
          <w:rtl w:val="0"/>
        </w:rPr>
        <w:t xml:space="preserve">Everyone involved creating content needs to know something about accessibility. Organizations need internal accessibility champions, but responsibility cannot be outsourced to them. Good accessibility best practices should be part of the job description of anyone producing digital content. </w:t>
      </w:r>
    </w:p>
    <w:p w:rsidR="00000000" w:rsidDel="00000000" w:rsidP="00000000" w:rsidRDefault="00000000" w:rsidRPr="00000000" w14:paraId="00000022">
      <w:pPr>
        <w:spacing w:line="276" w:lineRule="auto"/>
        <w:jc w:val="left"/>
        <w:rPr>
          <w:sz w:val="24"/>
          <w:szCs w:val="24"/>
        </w:rPr>
      </w:pPr>
      <w:r w:rsidDel="00000000" w:rsidR="00000000" w:rsidRPr="00000000">
        <w:rPr>
          <w:rtl w:val="0"/>
        </w:rPr>
      </w:r>
    </w:p>
    <w:p w:rsidR="00000000" w:rsidDel="00000000" w:rsidP="00000000" w:rsidRDefault="00000000" w:rsidRPr="00000000" w14:paraId="00000023">
      <w:pPr>
        <w:spacing w:line="276" w:lineRule="auto"/>
        <w:jc w:val="left"/>
        <w:rPr>
          <w:sz w:val="24"/>
          <w:szCs w:val="24"/>
        </w:rPr>
      </w:pPr>
      <w:r w:rsidDel="00000000" w:rsidR="00000000" w:rsidRPr="00000000">
        <w:rPr>
          <w:sz w:val="24"/>
          <w:szCs w:val="24"/>
          <w:rtl w:val="0"/>
        </w:rPr>
        <w:t xml:space="preserve">Our trainers will provide guidance on web accessibility that can benefit anyone who wants to learn more. Individuals who learn these skills can play a powerful role within their organization to see that they are on a journey of continual improvement. </w:t>
      </w:r>
    </w:p>
    <w:p w:rsidR="00000000" w:rsidDel="00000000" w:rsidP="00000000" w:rsidRDefault="00000000" w:rsidRPr="00000000" w14:paraId="00000024">
      <w:pPr>
        <w:spacing w:line="276" w:lineRule="auto"/>
        <w:jc w:val="left"/>
        <w:rPr/>
      </w:pPr>
      <w:r w:rsidDel="00000000" w:rsidR="00000000" w:rsidRPr="00000000">
        <w:rPr>
          <w:rtl w:val="0"/>
        </w:rPr>
      </w:r>
    </w:p>
    <w:tbl>
      <w:tblPr>
        <w:tblStyle w:val="Table3"/>
        <w:tblW w:w="8842.0" w:type="dxa"/>
        <w:jc w:val="left"/>
        <w:tblInd w:w="566.9291338582677" w:type="pct"/>
        <w:tblLayout w:type="fixed"/>
        <w:tblLook w:val="0600"/>
      </w:tblPr>
      <w:tblGrid>
        <w:gridCol w:w="8842"/>
        <w:tblGridChange w:id="0">
          <w:tblGrid>
            <w:gridCol w:w="8842"/>
          </w:tblGrid>
        </w:tblGridChange>
      </w:tblGrid>
      <w:tr>
        <w:tc>
          <w:tcPr>
            <w:shd w:fill="075d1b" w:val="clear"/>
            <w:tcMar>
              <w:top w:w="566.9291338582677" w:type="dxa"/>
              <w:left w:w="566.9291338582677" w:type="dxa"/>
              <w:bottom w:w="566.9291338582677" w:type="dxa"/>
              <w:right w:w="566.9291338582677" w:type="dxa"/>
            </w:tcMar>
            <w:vAlign w:val="top"/>
          </w:tcPr>
          <w:p w:rsidR="00000000" w:rsidDel="00000000" w:rsidP="00000000" w:rsidRDefault="00000000" w:rsidRPr="00000000" w14:paraId="00000025">
            <w:pPr>
              <w:pStyle w:val="Heading2"/>
              <w:spacing w:line="276" w:lineRule="auto"/>
              <w:jc w:val="left"/>
              <w:rPr>
                <w:color w:val="f3f3f3"/>
              </w:rPr>
            </w:pPr>
            <w:bookmarkStart w:colFirst="0" w:colLast="0" w:name="_bd1x65oog43w" w:id="4"/>
            <w:bookmarkEnd w:id="4"/>
            <w:r w:rsidDel="00000000" w:rsidR="00000000" w:rsidRPr="00000000">
              <w:rPr>
                <w:color w:val="f3f3f3"/>
                <w:rtl w:val="0"/>
              </w:rPr>
              <w:t xml:space="preserve">Who should attend?</w:t>
            </w:r>
          </w:p>
          <w:p w:rsidR="00000000" w:rsidDel="00000000" w:rsidP="00000000" w:rsidRDefault="00000000" w:rsidRPr="00000000" w14:paraId="00000026">
            <w:pPr>
              <w:spacing w:line="276" w:lineRule="auto"/>
              <w:jc w:val="left"/>
              <w:rPr>
                <w:b w:val="1"/>
                <w:color w:val="ffffff"/>
                <w:sz w:val="24"/>
                <w:szCs w:val="24"/>
              </w:rPr>
            </w:pPr>
            <w:r w:rsidDel="00000000" w:rsidR="00000000" w:rsidRPr="00000000">
              <w:rPr>
                <w:b w:val="1"/>
                <w:color w:val="ffffff"/>
                <w:sz w:val="24"/>
                <w:szCs w:val="24"/>
                <w:rtl w:val="0"/>
              </w:rPr>
              <w:t xml:space="preserve">You should attend if you are involved in creating your organizations website and are interested in web accessibility. This course will be beneficial if you know nothing about accessibility or if you just need a refresher on how to use modern automated tools and do keyboard-only testing.</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 Come if you are interested in accessibility and want to learn more about how to make the digital workplace more inclusive. </w:t>
            </w:r>
          </w:p>
        </w:tc>
      </w:tr>
    </w:tbl>
    <w:p w:rsidR="00000000" w:rsidDel="00000000" w:rsidP="00000000" w:rsidRDefault="00000000" w:rsidRPr="00000000" w14:paraId="00000027">
      <w:pPr>
        <w:spacing w:line="276" w:lineRule="auto"/>
        <w:jc w:val="left"/>
        <w:rPr/>
      </w:pPr>
      <w:r w:rsidDel="00000000" w:rsidR="00000000" w:rsidRPr="00000000">
        <w:rPr>
          <w:rtl w:val="0"/>
        </w:rPr>
      </w:r>
    </w:p>
    <w:p w:rsidR="00000000" w:rsidDel="00000000" w:rsidP="00000000" w:rsidRDefault="00000000" w:rsidRPr="00000000" w14:paraId="00000028">
      <w:pPr>
        <w:pStyle w:val="Heading2"/>
        <w:spacing w:line="276" w:lineRule="auto"/>
        <w:jc w:val="left"/>
        <w:rPr>
          <w:color w:val="434343"/>
        </w:rPr>
      </w:pPr>
      <w:bookmarkStart w:colFirst="0" w:colLast="0" w:name="_8hhaqhta49h7" w:id="5"/>
      <w:bookmarkEnd w:id="5"/>
      <w:r w:rsidDel="00000000" w:rsidR="00000000" w:rsidRPr="00000000">
        <w:rPr>
          <w:rtl w:val="0"/>
        </w:rPr>
      </w:r>
    </w:p>
    <w:p w:rsidR="00000000" w:rsidDel="00000000" w:rsidP="00000000" w:rsidRDefault="00000000" w:rsidRPr="00000000" w14:paraId="00000029">
      <w:pPr>
        <w:pStyle w:val="Heading2"/>
        <w:spacing w:line="276" w:lineRule="auto"/>
        <w:ind w:left="0" w:firstLine="0"/>
        <w:jc w:val="left"/>
        <w:rPr>
          <w:color w:val="434343"/>
        </w:rPr>
      </w:pPr>
      <w:bookmarkStart w:colFirst="0" w:colLast="0" w:name="_ag49917mvfkp" w:id="6"/>
      <w:bookmarkEnd w:id="6"/>
      <w:r w:rsidDel="00000000" w:rsidR="00000000" w:rsidRPr="00000000">
        <w:rPr>
          <w:rtl w:val="0"/>
        </w:rPr>
      </w:r>
    </w:p>
    <w:p w:rsidR="00000000" w:rsidDel="00000000" w:rsidP="00000000" w:rsidRDefault="00000000" w:rsidRPr="00000000" w14:paraId="0000002A">
      <w:pPr>
        <w:pStyle w:val="Heading2"/>
        <w:spacing w:line="276" w:lineRule="auto"/>
        <w:jc w:val="left"/>
        <w:rPr>
          <w:color w:val="434343"/>
        </w:rPr>
      </w:pPr>
      <w:bookmarkStart w:colFirst="0" w:colLast="0" w:name="_kzfyz6w3ou9v" w:id="7"/>
      <w:bookmarkEnd w:id="7"/>
      <w:r w:rsidDel="00000000" w:rsidR="00000000" w:rsidRPr="00000000">
        <w:rPr>
          <w:color w:val="434343"/>
          <w:rtl w:val="0"/>
        </w:rPr>
        <w:t xml:space="preserve">Syllabus</w:t>
      </w:r>
    </w:p>
    <w:p w:rsidR="00000000" w:rsidDel="00000000" w:rsidP="00000000" w:rsidRDefault="00000000" w:rsidRPr="00000000" w14:paraId="0000002B">
      <w:pPr>
        <w:numPr>
          <w:ilvl w:val="0"/>
          <w:numId w:val="1"/>
        </w:numPr>
        <w:spacing w:line="276" w:lineRule="auto"/>
        <w:ind w:left="720" w:hanging="360"/>
        <w:jc w:val="left"/>
        <w:rPr>
          <w:sz w:val="24"/>
          <w:szCs w:val="24"/>
        </w:rPr>
      </w:pPr>
      <w:r w:rsidDel="00000000" w:rsidR="00000000" w:rsidRPr="00000000">
        <w:rPr>
          <w:sz w:val="24"/>
          <w:szCs w:val="24"/>
          <w:rtl w:val="0"/>
        </w:rPr>
        <w:t xml:space="preserve">Review who benefits from accessibility investments</w:t>
      </w:r>
    </w:p>
    <w:p w:rsidR="00000000" w:rsidDel="00000000" w:rsidP="00000000" w:rsidRDefault="00000000" w:rsidRPr="00000000" w14:paraId="0000002C">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Basics of the new Accessible Canada Act</w:t>
      </w:r>
    </w:p>
    <w:p w:rsidR="00000000" w:rsidDel="00000000" w:rsidP="00000000" w:rsidRDefault="00000000" w:rsidRPr="00000000" w14:paraId="0000002D">
      <w:pPr>
        <w:numPr>
          <w:ilvl w:val="0"/>
          <w:numId w:val="1"/>
        </w:numPr>
        <w:spacing w:line="276" w:lineRule="auto"/>
        <w:ind w:left="720" w:hanging="360"/>
        <w:jc w:val="left"/>
        <w:rPr>
          <w:sz w:val="24"/>
          <w:szCs w:val="24"/>
        </w:rPr>
      </w:pPr>
      <w:r w:rsidDel="00000000" w:rsidR="00000000" w:rsidRPr="00000000">
        <w:rPr>
          <w:sz w:val="24"/>
          <w:szCs w:val="24"/>
          <w:rtl w:val="0"/>
        </w:rPr>
        <w:t xml:space="preserve">Introduce Microsoft’s Inclusive Design Toolkit</w:t>
      </w:r>
    </w:p>
    <w:p w:rsidR="00000000" w:rsidDel="00000000" w:rsidP="00000000" w:rsidRDefault="00000000" w:rsidRPr="00000000" w14:paraId="0000002E">
      <w:pPr>
        <w:numPr>
          <w:ilvl w:val="0"/>
          <w:numId w:val="1"/>
        </w:numPr>
        <w:spacing w:line="276" w:lineRule="auto"/>
        <w:ind w:left="720" w:hanging="360"/>
        <w:jc w:val="left"/>
        <w:rPr>
          <w:sz w:val="24"/>
          <w:szCs w:val="24"/>
        </w:rPr>
      </w:pPr>
      <w:r w:rsidDel="00000000" w:rsidR="00000000" w:rsidRPr="00000000">
        <w:rPr>
          <w:sz w:val="24"/>
          <w:szCs w:val="24"/>
          <w:rtl w:val="0"/>
        </w:rPr>
        <w:t xml:space="preserve">Overview of automated tools </w:t>
      </w:r>
    </w:p>
    <w:p w:rsidR="00000000" w:rsidDel="00000000" w:rsidP="00000000" w:rsidRDefault="00000000" w:rsidRPr="00000000" w14:paraId="0000002F">
      <w:pPr>
        <w:numPr>
          <w:ilvl w:val="0"/>
          <w:numId w:val="1"/>
        </w:numPr>
        <w:spacing w:line="276" w:lineRule="auto"/>
        <w:ind w:left="720" w:hanging="360"/>
        <w:jc w:val="left"/>
        <w:rPr>
          <w:sz w:val="24"/>
          <w:szCs w:val="24"/>
        </w:rPr>
      </w:pPr>
      <w:r w:rsidDel="00000000" w:rsidR="00000000" w:rsidRPr="00000000">
        <w:rPr>
          <w:sz w:val="24"/>
          <w:szCs w:val="24"/>
          <w:rtl w:val="0"/>
        </w:rPr>
        <w:t xml:space="preserve">Understanding errors, warnings, and ARIA</w:t>
      </w:r>
    </w:p>
    <w:p w:rsidR="00000000" w:rsidDel="00000000" w:rsidP="00000000" w:rsidRDefault="00000000" w:rsidRPr="00000000" w14:paraId="00000030">
      <w:pPr>
        <w:numPr>
          <w:ilvl w:val="0"/>
          <w:numId w:val="1"/>
        </w:numPr>
        <w:spacing w:line="276" w:lineRule="auto"/>
        <w:ind w:left="720" w:hanging="360"/>
        <w:jc w:val="left"/>
        <w:rPr>
          <w:sz w:val="24"/>
          <w:szCs w:val="24"/>
        </w:rPr>
      </w:pPr>
      <w:r w:rsidDel="00000000" w:rsidR="00000000" w:rsidRPr="00000000">
        <w:rPr>
          <w:sz w:val="24"/>
          <w:szCs w:val="24"/>
          <w:rtl w:val="0"/>
        </w:rPr>
        <w:t xml:space="preserve">Keyboard focus and keyboard only testing</w:t>
      </w:r>
    </w:p>
    <w:p w:rsidR="00000000" w:rsidDel="00000000" w:rsidP="00000000" w:rsidRDefault="00000000" w:rsidRPr="00000000" w14:paraId="00000031">
      <w:pPr>
        <w:numPr>
          <w:ilvl w:val="0"/>
          <w:numId w:val="1"/>
        </w:numPr>
        <w:spacing w:line="276" w:lineRule="auto"/>
        <w:ind w:left="720" w:hanging="360"/>
        <w:jc w:val="left"/>
        <w:rPr>
          <w:sz w:val="24"/>
          <w:szCs w:val="24"/>
        </w:rPr>
      </w:pPr>
      <w:r w:rsidDel="00000000" w:rsidR="00000000" w:rsidRPr="00000000">
        <w:rPr>
          <w:sz w:val="24"/>
          <w:szCs w:val="24"/>
          <w:rtl w:val="0"/>
        </w:rPr>
        <w:t xml:space="preserve">Introduction to Microsoft’s Accessibility Insights</w:t>
      </w:r>
    </w:p>
    <w:p w:rsidR="00000000" w:rsidDel="00000000" w:rsidP="00000000" w:rsidRDefault="00000000" w:rsidRPr="00000000" w14:paraId="00000032">
      <w:pPr>
        <w:numPr>
          <w:ilvl w:val="0"/>
          <w:numId w:val="1"/>
        </w:numPr>
        <w:spacing w:line="276" w:lineRule="auto"/>
        <w:ind w:left="720" w:hanging="360"/>
        <w:jc w:val="left"/>
        <w:rPr>
          <w:sz w:val="24"/>
          <w:szCs w:val="24"/>
        </w:rPr>
      </w:pPr>
      <w:r w:rsidDel="00000000" w:rsidR="00000000" w:rsidRPr="00000000">
        <w:rPr>
          <w:sz w:val="24"/>
          <w:szCs w:val="24"/>
          <w:rtl w:val="0"/>
        </w:rPr>
        <w:t xml:space="preserve">Review of assistive technology </w:t>
      </w:r>
    </w:p>
    <w:p w:rsidR="00000000" w:rsidDel="00000000" w:rsidP="00000000" w:rsidRDefault="00000000" w:rsidRPr="00000000" w14:paraId="00000033">
      <w:pPr>
        <w:numPr>
          <w:ilvl w:val="0"/>
          <w:numId w:val="1"/>
        </w:numPr>
        <w:spacing w:line="276" w:lineRule="auto"/>
        <w:ind w:left="720" w:hanging="360"/>
        <w:jc w:val="left"/>
        <w:rPr>
          <w:sz w:val="24"/>
          <w:szCs w:val="24"/>
        </w:rPr>
      </w:pPr>
      <w:r w:rsidDel="00000000" w:rsidR="00000000" w:rsidRPr="00000000">
        <w:rPr>
          <w:sz w:val="24"/>
          <w:szCs w:val="24"/>
          <w:rtl w:val="0"/>
        </w:rPr>
        <w:t xml:space="preserve">Web Content Accessibility Guidelines (WCAG) 2.x</w:t>
      </w:r>
    </w:p>
    <w:p w:rsidR="00000000" w:rsidDel="00000000" w:rsidP="00000000" w:rsidRDefault="00000000" w:rsidRPr="00000000" w14:paraId="00000034">
      <w:pPr>
        <w:numPr>
          <w:ilvl w:val="0"/>
          <w:numId w:val="1"/>
        </w:numPr>
        <w:spacing w:line="276" w:lineRule="auto"/>
        <w:ind w:left="720" w:hanging="360"/>
        <w:jc w:val="left"/>
        <w:rPr>
          <w:sz w:val="24"/>
          <w:szCs w:val="24"/>
        </w:rPr>
      </w:pPr>
      <w:r w:rsidDel="00000000" w:rsidR="00000000" w:rsidRPr="00000000">
        <w:rPr>
          <w:sz w:val="24"/>
          <w:szCs w:val="24"/>
          <w:rtl w:val="0"/>
        </w:rPr>
        <w:t xml:space="preserve">Why we need to involve PwD and have accessibility statements</w:t>
      </w:r>
    </w:p>
    <w:p w:rsidR="00000000" w:rsidDel="00000000" w:rsidP="00000000" w:rsidRDefault="00000000" w:rsidRPr="00000000" w14:paraId="00000035">
      <w:pPr>
        <w:numPr>
          <w:ilvl w:val="0"/>
          <w:numId w:val="1"/>
        </w:numPr>
        <w:spacing w:line="276" w:lineRule="auto"/>
        <w:ind w:left="720" w:hanging="360"/>
        <w:jc w:val="left"/>
        <w:rPr>
          <w:sz w:val="24"/>
          <w:szCs w:val="24"/>
        </w:rPr>
      </w:pPr>
      <w:r w:rsidDel="00000000" w:rsidR="00000000" w:rsidRPr="00000000">
        <w:rPr>
          <w:sz w:val="24"/>
          <w:szCs w:val="24"/>
          <w:rtl w:val="0"/>
        </w:rPr>
        <w:t xml:space="preserve">Accessible procurement</w:t>
      </w:r>
      <w:r w:rsidDel="00000000" w:rsidR="00000000" w:rsidRPr="00000000">
        <w:rPr>
          <w:rtl w:val="0"/>
        </w:rPr>
      </w:r>
    </w:p>
    <w:p w:rsidR="00000000" w:rsidDel="00000000" w:rsidP="00000000" w:rsidRDefault="00000000" w:rsidRPr="00000000" w14:paraId="00000036">
      <w:pPr>
        <w:tabs>
          <w:tab w:val="center" w:pos="4680"/>
          <w:tab w:val="right" w:pos="9360"/>
        </w:tabs>
        <w:jc w:val="right"/>
        <w:rPr>
          <w:color w:val="037fb0"/>
        </w:rPr>
      </w:pPr>
      <w:r w:rsidDel="00000000" w:rsidR="00000000" w:rsidRPr="00000000">
        <w:rPr>
          <w:rtl w:val="0"/>
        </w:rPr>
      </w:r>
    </w:p>
    <w:p w:rsidR="00000000" w:rsidDel="00000000" w:rsidP="00000000" w:rsidRDefault="00000000" w:rsidRPr="00000000" w14:paraId="00000037">
      <w:pPr>
        <w:tabs>
          <w:tab w:val="center" w:pos="4680"/>
          <w:tab w:val="right" w:pos="9360"/>
        </w:tabs>
        <w:jc w:val="right"/>
        <w:rPr>
          <w:color w:val="037fb0"/>
        </w:rPr>
      </w:pPr>
      <w:r w:rsidDel="00000000" w:rsidR="00000000" w:rsidRPr="00000000">
        <w:rPr>
          <w:rtl w:val="0"/>
        </w:rPr>
      </w:r>
    </w:p>
    <w:p w:rsidR="00000000" w:rsidDel="00000000" w:rsidP="00000000" w:rsidRDefault="00000000" w:rsidRPr="00000000" w14:paraId="00000038">
      <w:pPr>
        <w:tabs>
          <w:tab w:val="center" w:pos="4680"/>
          <w:tab w:val="right" w:pos="9360"/>
        </w:tabs>
        <w:jc w:val="left"/>
        <w:rPr>
          <w:color w:val="037fb0"/>
        </w:rPr>
      </w:pPr>
      <w:r w:rsidDel="00000000" w:rsidR="00000000" w:rsidRPr="00000000">
        <w:rPr>
          <w:rtl w:val="0"/>
        </w:rPr>
      </w:r>
    </w:p>
    <w:p w:rsidR="00000000" w:rsidDel="00000000" w:rsidP="00000000" w:rsidRDefault="00000000" w:rsidRPr="00000000" w14:paraId="00000039">
      <w:pPr>
        <w:tabs>
          <w:tab w:val="center" w:pos="4680"/>
          <w:tab w:val="right" w:pos="9360"/>
        </w:tabs>
        <w:jc w:val="right"/>
        <w:rPr>
          <w:color w:val="037fb0"/>
        </w:rPr>
      </w:pPr>
      <w:r w:rsidDel="00000000" w:rsidR="00000000" w:rsidRPr="00000000">
        <w:rPr>
          <w:rtl w:val="0"/>
        </w:rPr>
      </w:r>
    </w:p>
    <w:p w:rsidR="00000000" w:rsidDel="00000000" w:rsidP="00000000" w:rsidRDefault="00000000" w:rsidRPr="00000000" w14:paraId="0000003A">
      <w:pPr>
        <w:tabs>
          <w:tab w:val="center" w:pos="4680"/>
          <w:tab w:val="right" w:pos="9360"/>
        </w:tabs>
        <w:jc w:val="right"/>
        <w:rPr>
          <w:color w:val="037fb0"/>
        </w:rPr>
      </w:pPr>
      <w:r w:rsidDel="00000000" w:rsidR="00000000" w:rsidRPr="00000000">
        <w:rPr>
          <w:rtl w:val="0"/>
        </w:rPr>
      </w:r>
    </w:p>
    <w:p w:rsidR="00000000" w:rsidDel="00000000" w:rsidP="00000000" w:rsidRDefault="00000000" w:rsidRPr="00000000" w14:paraId="0000003B">
      <w:pPr>
        <w:tabs>
          <w:tab w:val="center" w:pos="4680"/>
          <w:tab w:val="right" w:pos="9360"/>
        </w:tabs>
        <w:jc w:val="right"/>
        <w:rPr>
          <w:color w:val="037fb0"/>
        </w:rPr>
      </w:pPr>
      <w:r w:rsidDel="00000000" w:rsidR="00000000" w:rsidRPr="00000000">
        <w:rPr>
          <w:color w:val="037fb0"/>
          <w:rtl w:val="0"/>
        </w:rPr>
        <w:t xml:space="preserve">____________________________________________________________________________________</w:t>
        <w:br w:type="textWrapping"/>
      </w:r>
    </w:p>
    <w:p w:rsidR="00000000" w:rsidDel="00000000" w:rsidP="00000000" w:rsidRDefault="00000000" w:rsidRPr="00000000" w14:paraId="0000003C">
      <w:pPr>
        <w:tabs>
          <w:tab w:val="center" w:pos="4680"/>
          <w:tab w:val="right" w:pos="9360"/>
        </w:tabs>
        <w:jc w:val="right"/>
        <w:rPr>
          <w:color w:val="037fb0"/>
        </w:rPr>
      </w:pPr>
      <w:r w:rsidDel="00000000" w:rsidR="00000000" w:rsidRPr="00000000">
        <w:rPr>
          <w:rtl w:val="0"/>
        </w:rPr>
      </w:r>
    </w:p>
    <w:p w:rsidR="00000000" w:rsidDel="00000000" w:rsidP="00000000" w:rsidRDefault="00000000" w:rsidRPr="00000000" w14:paraId="0000003D">
      <w:pPr>
        <w:tabs>
          <w:tab w:val="center" w:pos="4680"/>
          <w:tab w:val="right" w:pos="9360"/>
        </w:tabs>
        <w:jc w:val="right"/>
        <w:rPr>
          <w:color w:val="037fb0"/>
        </w:rPr>
      </w:pPr>
      <w:r w:rsidDel="00000000" w:rsidR="00000000" w:rsidRPr="00000000">
        <w:rPr>
          <w:rtl w:val="0"/>
        </w:rPr>
      </w:r>
    </w:p>
    <w:p w:rsidR="00000000" w:rsidDel="00000000" w:rsidP="00000000" w:rsidRDefault="00000000" w:rsidRPr="00000000" w14:paraId="0000003E">
      <w:pPr>
        <w:tabs>
          <w:tab w:val="center" w:pos="4680"/>
          <w:tab w:val="right" w:pos="9360"/>
        </w:tabs>
        <w:jc w:val="right"/>
        <w:rPr>
          <w:color w:val="037fb0"/>
        </w:rPr>
      </w:pPr>
      <w:r w:rsidDel="00000000" w:rsidR="00000000" w:rsidRPr="00000000">
        <w:rPr>
          <w:rtl w:val="0"/>
        </w:rPr>
      </w:r>
    </w:p>
    <w:tbl>
      <w:tblPr>
        <w:tblStyle w:val="Table4"/>
        <w:tblW w:w="8850.0" w:type="dxa"/>
        <w:jc w:val="left"/>
        <w:tblInd w:w="566.9291338582677" w:type="pct"/>
        <w:tblLayout w:type="fixed"/>
        <w:tblLook w:val="0600"/>
      </w:tblPr>
      <w:tblGrid>
        <w:gridCol w:w="3525"/>
        <w:gridCol w:w="5325"/>
        <w:tblGridChange w:id="0">
          <w:tblGrid>
            <w:gridCol w:w="3525"/>
            <w:gridCol w:w="5325"/>
          </w:tblGrid>
        </w:tblGridChange>
      </w:tblGrid>
      <w:tr>
        <w:tc>
          <w:tcPr>
            <w:shd w:fill="1f1f1f" w:val="clear"/>
            <w:tcMar>
              <w:top w:w="566.9291338582677" w:type="dxa"/>
              <w:left w:w="566.9291338582677" w:type="dxa"/>
              <w:bottom w:w="566.9291338582677" w:type="dxa"/>
              <w:right w:w="566.9291338582677" w:type="dxa"/>
            </w:tcMar>
            <w:vAlign w:val="top"/>
          </w:tcPr>
          <w:p w:rsidR="00000000" w:rsidDel="00000000" w:rsidP="00000000" w:rsidRDefault="00000000" w:rsidRPr="00000000" w14:paraId="0000003F">
            <w:pPr>
              <w:pStyle w:val="Heading2"/>
              <w:widowControl w:val="0"/>
              <w:spacing w:line="240" w:lineRule="auto"/>
              <w:ind w:left="0"/>
              <w:jc w:val="left"/>
              <w:rPr>
                <w:color w:val="bae3f0"/>
              </w:rPr>
            </w:pPr>
            <w:bookmarkStart w:colFirst="0" w:colLast="0" w:name="_hmzr9risnop1" w:id="8"/>
            <w:bookmarkEnd w:id="8"/>
            <w:r w:rsidDel="00000000" w:rsidR="00000000" w:rsidRPr="00000000">
              <w:rPr>
                <w:color w:val="bae3f0"/>
                <w:rtl w:val="0"/>
              </w:rPr>
              <w:t xml:space="preserve">Next Workshop</w:t>
            </w:r>
          </w:p>
          <w:p w:rsidR="00000000" w:rsidDel="00000000" w:rsidP="00000000" w:rsidRDefault="00000000" w:rsidRPr="00000000" w14:paraId="00000040">
            <w:pPr>
              <w:widowControl w:val="0"/>
              <w:spacing w:line="240" w:lineRule="auto"/>
              <w:jc w:val="left"/>
              <w:rPr>
                <w:b w:val="1"/>
                <w:color w:val="bae3f0"/>
              </w:rPr>
            </w:pPr>
            <w:r w:rsidDel="00000000" w:rsidR="00000000" w:rsidRPr="00000000">
              <w:rPr>
                <w:b w:val="1"/>
                <w:color w:val="bae3f0"/>
                <w:rtl w:val="0"/>
              </w:rPr>
              <w:t xml:space="preserve">December 11th</w:t>
              <w:br w:type="textWrapping"/>
              <w:t xml:space="preserve">8:30am to 5pm</w:t>
            </w:r>
          </w:p>
          <w:p w:rsidR="00000000" w:rsidDel="00000000" w:rsidP="00000000" w:rsidRDefault="00000000" w:rsidRPr="00000000" w14:paraId="00000041">
            <w:pPr>
              <w:widowControl w:val="0"/>
              <w:spacing w:line="240" w:lineRule="auto"/>
              <w:jc w:val="left"/>
              <w:rPr>
                <w:color w:val="bae3f0"/>
              </w:rPr>
            </w:pPr>
            <w:r w:rsidDel="00000000" w:rsidR="00000000" w:rsidRPr="00000000">
              <w:rPr>
                <w:rtl w:val="0"/>
              </w:rPr>
            </w:r>
          </w:p>
          <w:p w:rsidR="00000000" w:rsidDel="00000000" w:rsidP="00000000" w:rsidRDefault="00000000" w:rsidRPr="00000000" w14:paraId="00000042">
            <w:pPr>
              <w:widowControl w:val="0"/>
              <w:spacing w:line="240" w:lineRule="auto"/>
              <w:jc w:val="left"/>
              <w:rPr>
                <w:b w:val="1"/>
                <w:color w:val="bae3f0"/>
              </w:rPr>
            </w:pPr>
            <w:r w:rsidDel="00000000" w:rsidR="00000000" w:rsidRPr="00000000">
              <w:rPr>
                <w:b w:val="1"/>
                <w:color w:val="bae3f0"/>
                <w:rtl w:val="0"/>
              </w:rPr>
              <w:t xml:space="preserve">Cost: $800 + HST per person.</w:t>
            </w:r>
            <w:r w:rsidDel="00000000" w:rsidR="00000000" w:rsidRPr="00000000">
              <w:rPr>
                <w:rtl w:val="0"/>
              </w:rPr>
            </w:r>
          </w:p>
        </w:tc>
        <w:tc>
          <w:tcPr>
            <w:shd w:fill="1f1f1f" w:val="clear"/>
            <w:tcMar>
              <w:top w:w="566.9291338582677" w:type="dxa"/>
              <w:left w:w="566.9291338582677" w:type="dxa"/>
              <w:bottom w:w="566.9291338582677" w:type="dxa"/>
              <w:right w:w="566.9291338582677" w:type="dxa"/>
            </w:tcMar>
            <w:vAlign w:val="top"/>
          </w:tcPr>
          <w:p w:rsidR="00000000" w:rsidDel="00000000" w:rsidP="00000000" w:rsidRDefault="00000000" w:rsidRPr="00000000" w14:paraId="00000043">
            <w:pPr>
              <w:pStyle w:val="Heading2"/>
              <w:spacing w:line="276" w:lineRule="auto"/>
              <w:jc w:val="left"/>
              <w:rPr>
                <w:color w:val="bae3f0"/>
              </w:rPr>
            </w:pPr>
            <w:bookmarkStart w:colFirst="0" w:colLast="0" w:name="_u21s7ji3luym" w:id="9"/>
            <w:bookmarkEnd w:id="9"/>
            <w:r w:rsidDel="00000000" w:rsidR="00000000" w:rsidRPr="00000000">
              <w:rPr>
                <w:color w:val="bae3f0"/>
                <w:rtl w:val="0"/>
              </w:rPr>
              <w:t xml:space="preserve">Sound like it would</w:t>
            </w:r>
          </w:p>
          <w:p w:rsidR="00000000" w:rsidDel="00000000" w:rsidP="00000000" w:rsidRDefault="00000000" w:rsidRPr="00000000" w14:paraId="00000044">
            <w:pPr>
              <w:pStyle w:val="Heading2"/>
              <w:spacing w:line="276" w:lineRule="auto"/>
              <w:jc w:val="left"/>
              <w:rPr>
                <w:color w:val="bae3f0"/>
              </w:rPr>
            </w:pPr>
            <w:bookmarkStart w:colFirst="0" w:colLast="0" w:name="_7gsenaz9cjjw" w:id="10"/>
            <w:bookmarkEnd w:id="10"/>
            <w:r w:rsidDel="00000000" w:rsidR="00000000" w:rsidRPr="00000000">
              <w:rPr>
                <w:color w:val="bae3f0"/>
                <w:rtl w:val="0"/>
              </w:rPr>
              <w:t xml:space="preserve">help?</w:t>
            </w:r>
          </w:p>
          <w:p w:rsidR="00000000" w:rsidDel="00000000" w:rsidP="00000000" w:rsidRDefault="00000000" w:rsidRPr="00000000" w14:paraId="00000045">
            <w:pPr>
              <w:spacing w:line="276" w:lineRule="auto"/>
              <w:jc w:val="left"/>
              <w:rPr>
                <w:b w:val="1"/>
                <w:color w:val="bae3f0"/>
                <w:sz w:val="60"/>
                <w:szCs w:val="60"/>
              </w:rPr>
            </w:pPr>
            <w:r w:rsidDel="00000000" w:rsidR="00000000" w:rsidRPr="00000000">
              <w:rPr>
                <w:color w:val="bae3f0"/>
                <w:sz w:val="24"/>
                <w:szCs w:val="24"/>
                <w:rtl w:val="0"/>
              </w:rPr>
              <w:t xml:space="preserve">If this sounds like something that would help you, please </w:t>
            </w:r>
            <w:hyperlink r:id="rId9">
              <w:r w:rsidDel="00000000" w:rsidR="00000000" w:rsidRPr="00000000">
                <w:rPr>
                  <w:color w:val="bae3f0"/>
                  <w:sz w:val="24"/>
                  <w:szCs w:val="24"/>
                  <w:u w:val="single"/>
                  <w:rtl w:val="0"/>
                </w:rPr>
                <w:t xml:space="preserve">send us an email</w:t>
              </w:r>
            </w:hyperlink>
            <w:r w:rsidDel="00000000" w:rsidR="00000000" w:rsidRPr="00000000">
              <w:rPr>
                <w:color w:val="bae3f0"/>
                <w:sz w:val="24"/>
                <w:szCs w:val="24"/>
                <w:rtl w:val="0"/>
              </w:rPr>
              <w:t xml:space="preserve"> to let us know you are interested.</w:t>
            </w:r>
            <w:r w:rsidDel="00000000" w:rsidR="00000000" w:rsidRPr="00000000">
              <w:rPr>
                <w:rtl w:val="0"/>
              </w:rPr>
            </w:r>
          </w:p>
        </w:tc>
      </w:tr>
    </w:tbl>
    <w:p w:rsidR="00000000" w:rsidDel="00000000" w:rsidP="00000000" w:rsidRDefault="00000000" w:rsidRPr="00000000" w14:paraId="00000046">
      <w:pPr>
        <w:spacing w:line="276" w:lineRule="auto"/>
        <w:ind w:left="720" w:firstLine="0"/>
        <w:jc w:val="left"/>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11" w:top="1804" w:left="1699" w:right="1699" w:header="720.0000000000001" w:footer="720.0000000000001"/>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right"/>
      <w:rPr>
        <w:rFonts w:ascii="Trebuchet MS" w:cs="Trebuchet MS" w:eastAsia="Trebuchet MS" w:hAnsi="Trebuchet MS"/>
        <w:b w:val="0"/>
        <w:i w:val="0"/>
        <w:smallCaps w:val="0"/>
        <w:strike w:val="0"/>
        <w:color w:val="037fb0"/>
        <w:sz w:val="20"/>
        <w:szCs w:val="20"/>
        <w:u w:val="none"/>
        <w:shd w:fill="auto" w:val="clear"/>
        <w:vertAlign w:val="baseline"/>
      </w:rPr>
    </w:pPr>
    <w:r w:rsidDel="00000000" w:rsidR="00000000" w:rsidRPr="00000000">
      <w:rPr>
        <w:color w:val="037fb0"/>
        <w:rtl w:val="0"/>
      </w:rPr>
      <w:t xml:space="preserve">____________________________________________________________________________________</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276225</wp:posOffset>
          </wp:positionV>
          <wp:extent cx="520611" cy="31552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0611" cy="315522"/>
                  </a:xfrm>
                  <a:prstGeom prst="rect"/>
                  <a:ln/>
                </pic:spPr>
              </pic:pic>
            </a:graphicData>
          </a:graphic>
        </wp:anchor>
      </w:drawing>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right"/>
      <w:rPr>
        <w:rFonts w:ascii="Nunito Light" w:cs="Nunito Light" w:eastAsia="Nunito Light" w:hAnsi="Nunito Light"/>
        <w:color w:val="464646"/>
      </w:rPr>
    </w:pPr>
    <w:r w:rsidDel="00000000" w:rsidR="00000000" w:rsidRPr="00000000">
      <w:rPr>
        <w:rFonts w:ascii="Nunito Light" w:cs="Nunito Light" w:eastAsia="Nunito Light" w:hAnsi="Nunito Light"/>
        <w:color w:val="464646"/>
        <w:rtl w:val="0"/>
      </w:rPr>
      <w:t xml:space="preserve">OpenConcept Consulting Inc.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widowControl w:val="0"/>
      <w:spacing w:line="276" w:lineRule="auto"/>
      <w:jc w:val="left"/>
      <w:rPr>
        <w:sz w:val="16"/>
        <w:szCs w:val="16"/>
      </w:rPr>
    </w:pPr>
    <w:r w:rsidDel="00000000" w:rsidR="00000000" w:rsidRPr="00000000">
      <w:rPr>
        <w:rtl w:val="0"/>
      </w:rPr>
    </w:r>
  </w:p>
  <w:p w:rsidR="00000000" w:rsidDel="00000000" w:rsidP="00000000" w:rsidRDefault="00000000" w:rsidRPr="00000000" w14:paraId="00000048">
    <w:pPr>
      <w:widowControl w:val="0"/>
      <w:spacing w:line="276" w:lineRule="auto"/>
      <w:jc w:val="right"/>
      <w:rPr/>
    </w:pPr>
    <w:r w:rsidDel="00000000" w:rsidR="00000000" w:rsidRPr="00000000">
      <w:rPr>
        <w:b w:val="1"/>
        <w:color w:val="464646"/>
        <w:rtl w:val="0"/>
      </w:rPr>
      <w:t xml:space="preserve">Accessibility Workshop - The Basics</w:t>
      <w:br w:type="textWrapping"/>
    </w:r>
    <w:r w:rsidDel="00000000" w:rsidR="00000000" w:rsidRPr="00000000">
      <w:rPr>
        <w:color w:val="037fb0"/>
        <w:rtl w:val="0"/>
      </w:rPr>
      <w:t xml:space="preserve">____________________________________________________________________________________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left" w:pos="7620"/>
      </w:tabs>
      <w:jc w:val="left"/>
      <w:rPr/>
    </w:pPr>
    <w:r w:rsidDel="00000000" w:rsidR="00000000" w:rsidRPr="00000000">
      <w:rPr>
        <w:rtl w:val="0"/>
      </w:rPr>
    </w:r>
  </w:p>
  <w:tbl>
    <w:tblPr>
      <w:tblStyle w:val="Table5"/>
      <w:tblW w:w="8842.0" w:type="dxa"/>
      <w:jc w:val="center"/>
      <w:tblLayout w:type="fixed"/>
      <w:tblLook w:val="0600"/>
    </w:tblPr>
    <w:tblGrid>
      <w:gridCol w:w="2947.3333333333335"/>
      <w:gridCol w:w="2947.3333333333335"/>
      <w:gridCol w:w="2947.3333333333335"/>
      <w:tblGridChange w:id="0">
        <w:tblGrid>
          <w:gridCol w:w="2947.3333333333335"/>
          <w:gridCol w:w="2947.3333333333335"/>
          <w:gridCol w:w="2947.3333333333335"/>
        </w:tblGrid>
      </w:tblGridChange>
    </w:tblGrid>
    <w:tr>
      <w:tc>
        <w:tcPr>
          <w:tcBorders>
            <w:bottom w:color="037fb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E">
          <w:pPr>
            <w:widowControl w:val="0"/>
            <w:spacing w:line="24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123825</wp:posOffset>
                </wp:positionV>
                <wp:extent cx="1595898" cy="2524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5898" cy="252413"/>
                        </a:xfrm>
                        <a:prstGeom prst="rect"/>
                        <a:ln/>
                      </pic:spPr>
                    </pic:pic>
                  </a:graphicData>
                </a:graphic>
              </wp:anchor>
            </w:drawing>
          </w:r>
        </w:p>
      </w:tc>
      <w:tc>
        <w:tcPr>
          <w:tcBorders>
            <w:bottom w:color="037fb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jc w:val="left"/>
            <w:rPr>
              <w:rFonts w:ascii="Nunito Light" w:cs="Nunito Light" w:eastAsia="Nunito Light" w:hAnsi="Nunito Light"/>
              <w:color w:val="464646"/>
            </w:rPr>
          </w:pPr>
          <w:r w:rsidDel="00000000" w:rsidR="00000000" w:rsidRPr="00000000">
            <w:rPr>
              <w:rFonts w:ascii="Nunito Light" w:cs="Nunito Light" w:eastAsia="Nunito Light" w:hAnsi="Nunito Light"/>
              <w:color w:val="464646"/>
              <w:rtl w:val="0"/>
            </w:rPr>
            <w:t xml:space="preserve">OpenConcept Consulting Inc.</w:t>
          </w:r>
        </w:p>
        <w:p w:rsidR="00000000" w:rsidDel="00000000" w:rsidP="00000000" w:rsidRDefault="00000000" w:rsidRPr="00000000" w14:paraId="00000050">
          <w:pPr>
            <w:widowControl w:val="0"/>
            <w:spacing w:line="276" w:lineRule="auto"/>
            <w:jc w:val="left"/>
            <w:rPr>
              <w:rFonts w:ascii="Nunito Light" w:cs="Nunito Light" w:eastAsia="Nunito Light" w:hAnsi="Nunito Light"/>
              <w:color w:val="464646"/>
            </w:rPr>
          </w:pPr>
          <w:r w:rsidDel="00000000" w:rsidR="00000000" w:rsidRPr="00000000">
            <w:rPr>
              <w:rFonts w:ascii="Nunito Light" w:cs="Nunito Light" w:eastAsia="Nunito Light" w:hAnsi="Nunito Light"/>
              <w:color w:val="464646"/>
              <w:rtl w:val="0"/>
            </w:rPr>
            <w:t xml:space="preserve">571 Somerset Street West</w:t>
          </w:r>
        </w:p>
        <w:p w:rsidR="00000000" w:rsidDel="00000000" w:rsidP="00000000" w:rsidRDefault="00000000" w:rsidRPr="00000000" w14:paraId="00000051">
          <w:pPr>
            <w:widowControl w:val="0"/>
            <w:spacing w:line="276" w:lineRule="auto"/>
            <w:jc w:val="left"/>
            <w:rPr>
              <w:rFonts w:ascii="Nunito Light" w:cs="Nunito Light" w:eastAsia="Nunito Light" w:hAnsi="Nunito Light"/>
              <w:color w:val="464646"/>
            </w:rPr>
          </w:pPr>
          <w:r w:rsidDel="00000000" w:rsidR="00000000" w:rsidRPr="00000000">
            <w:rPr>
              <w:rFonts w:ascii="Nunito Light" w:cs="Nunito Light" w:eastAsia="Nunito Light" w:hAnsi="Nunito Light"/>
              <w:color w:val="464646"/>
              <w:rtl w:val="0"/>
            </w:rPr>
            <w:t xml:space="preserve">Ottawa, ON K1R 5K1</w:t>
          </w:r>
        </w:p>
      </w:tc>
      <w:tc>
        <w:tcPr>
          <w:tcBorders>
            <w:bottom w:color="037fb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rFonts w:ascii="Nunito Light" w:cs="Nunito Light" w:eastAsia="Nunito Light" w:hAnsi="Nunito Light"/>
              <w:color w:val="464646"/>
            </w:rPr>
          </w:pPr>
          <w:r w:rsidDel="00000000" w:rsidR="00000000" w:rsidRPr="00000000">
            <w:rPr>
              <w:rFonts w:ascii="Nunito Light" w:cs="Nunito Light" w:eastAsia="Nunito Light" w:hAnsi="Nunito Light"/>
              <w:color w:val="464646"/>
              <w:rtl w:val="0"/>
            </w:rPr>
            <w:t xml:space="preserve">Phone: 613-686-6736 </w:t>
          </w:r>
        </w:p>
        <w:p w:rsidR="00000000" w:rsidDel="00000000" w:rsidP="00000000" w:rsidRDefault="00000000" w:rsidRPr="00000000" w14:paraId="00000053">
          <w:pPr>
            <w:widowControl w:val="0"/>
            <w:spacing w:line="240" w:lineRule="auto"/>
            <w:jc w:val="left"/>
            <w:rPr>
              <w:rFonts w:ascii="Nunito Light" w:cs="Nunito Light" w:eastAsia="Nunito Light" w:hAnsi="Nunito Light"/>
              <w:color w:val="037fb0"/>
            </w:rPr>
          </w:pPr>
          <w:r w:rsidDel="00000000" w:rsidR="00000000" w:rsidRPr="00000000">
            <w:rPr>
              <w:rFonts w:ascii="Nunito Light" w:cs="Nunito Light" w:eastAsia="Nunito Light" w:hAnsi="Nunito Light"/>
              <w:color w:val="464646"/>
              <w:rtl w:val="0"/>
            </w:rPr>
            <w:t xml:space="preserve">Web: </w:t>
          </w:r>
          <w:hyperlink r:id="rId2">
            <w:r w:rsidDel="00000000" w:rsidR="00000000" w:rsidRPr="00000000">
              <w:rPr>
                <w:rFonts w:ascii="Nunito Light" w:cs="Nunito Light" w:eastAsia="Nunito Light" w:hAnsi="Nunito Light"/>
                <w:color w:val="037fb0"/>
                <w:u w:val="single"/>
                <w:rtl w:val="0"/>
              </w:rPr>
              <w:t xml:space="preserve">https://openconcept.ca</w:t>
            </w:r>
          </w:hyperlink>
          <w:r w:rsidDel="00000000" w:rsidR="00000000" w:rsidRPr="00000000">
            <w:rPr>
              <w:rtl w:val="0"/>
            </w:rPr>
          </w:r>
        </w:p>
        <w:p w:rsidR="00000000" w:rsidDel="00000000" w:rsidP="00000000" w:rsidRDefault="00000000" w:rsidRPr="00000000" w14:paraId="00000054">
          <w:pPr>
            <w:widowControl w:val="0"/>
            <w:spacing w:line="240" w:lineRule="auto"/>
            <w:jc w:val="left"/>
            <w:rPr>
              <w:rFonts w:ascii="Nunito Light" w:cs="Nunito Light" w:eastAsia="Nunito Light" w:hAnsi="Nunito Light"/>
              <w:color w:val="037fb0"/>
            </w:rPr>
          </w:pPr>
          <w:r w:rsidDel="00000000" w:rsidR="00000000" w:rsidRPr="00000000">
            <w:rPr>
              <w:rFonts w:ascii="Nunito Light" w:cs="Nunito Light" w:eastAsia="Nunito Light" w:hAnsi="Nunito Light"/>
              <w:color w:val="464646"/>
              <w:rtl w:val="0"/>
            </w:rPr>
            <w:t xml:space="preserve">Twitter: </w:t>
          </w:r>
          <w:hyperlink r:id="rId3">
            <w:r w:rsidDel="00000000" w:rsidR="00000000" w:rsidRPr="00000000">
              <w:rPr>
                <w:rFonts w:ascii="Nunito Light" w:cs="Nunito Light" w:eastAsia="Nunito Light" w:hAnsi="Nunito Light"/>
                <w:color w:val="037fb0"/>
                <w:u w:val="single"/>
                <w:rtl w:val="0"/>
              </w:rPr>
              <w:t xml:space="preserve">@openconcept_ca</w:t>
            </w:r>
          </w:hyperlink>
          <w:r w:rsidDel="00000000" w:rsidR="00000000" w:rsidRPr="00000000">
            <w:rPr>
              <w:rtl w:val="0"/>
            </w:rPr>
          </w:r>
        </w:p>
      </w:tc>
    </w:tr>
  </w:tbl>
  <w:p w:rsidR="00000000" w:rsidDel="00000000" w:rsidP="00000000" w:rsidRDefault="00000000" w:rsidRPr="00000000" w14:paraId="00000055">
    <w:pPr>
      <w:pStyle w:val="Heading1"/>
      <w:spacing w:line="276" w:lineRule="auto"/>
      <w:ind w:left="0"/>
      <w:jc w:val="left"/>
      <w:rPr/>
    </w:pPr>
    <w:bookmarkStart w:colFirst="0" w:colLast="0" w:name="_jvciz9dqcxb4" w:id="11"/>
    <w:bookmarkEnd w:id="1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b w:val="1"/>
      <w:color w:val="ed1a3b"/>
      <w:sz w:val="40"/>
      <w:szCs w:val="40"/>
    </w:rPr>
  </w:style>
  <w:style w:type="paragraph" w:styleId="Heading2">
    <w:name w:val="heading 2"/>
    <w:basedOn w:val="Normal"/>
    <w:next w:val="Normal"/>
    <w:pPr>
      <w:keepNext w:val="1"/>
      <w:keepLines w:val="1"/>
      <w:spacing w:after="120" w:before="120" w:lineRule="auto"/>
      <w:ind w:left="576" w:hanging="576"/>
    </w:pPr>
    <w:rPr>
      <w:b w:val="1"/>
      <w:color w:val="ed1a3b"/>
      <w:sz w:val="32"/>
      <w:szCs w:val="32"/>
    </w:rPr>
  </w:style>
  <w:style w:type="paragraph" w:styleId="Heading3">
    <w:name w:val="heading 3"/>
    <w:basedOn w:val="Normal"/>
    <w:next w:val="Normal"/>
    <w:pPr>
      <w:keepNext w:val="1"/>
      <w:keepLines w:val="1"/>
      <w:spacing w:after="120" w:before="120" w:lineRule="auto"/>
      <w:ind w:left="720" w:hanging="720"/>
    </w:pPr>
    <w:rPr>
      <w:b w:val="1"/>
      <w:color w:val="ed1a3b"/>
      <w:sz w:val="28"/>
      <w:szCs w:val="28"/>
    </w:rPr>
  </w:style>
  <w:style w:type="paragraph" w:styleId="Heading4">
    <w:name w:val="heading 4"/>
    <w:basedOn w:val="Normal"/>
    <w:next w:val="Normal"/>
    <w:pPr>
      <w:keepNext w:val="1"/>
      <w:keepLines w:val="1"/>
      <w:spacing w:before="40" w:lineRule="auto"/>
      <w:ind w:left="864" w:hanging="864"/>
    </w:pPr>
    <w:rPr>
      <w:rFonts w:ascii="Trebuchet MS" w:cs="Trebuchet MS" w:eastAsia="Trebuchet MS" w:hAnsi="Trebuchet MS"/>
      <w:i w:val="1"/>
      <w:color w:val="084148"/>
    </w:rPr>
  </w:style>
  <w:style w:type="paragraph" w:styleId="Heading5">
    <w:name w:val="heading 5"/>
    <w:basedOn w:val="Normal"/>
    <w:next w:val="Normal"/>
    <w:pPr>
      <w:keepNext w:val="1"/>
      <w:keepLines w:val="1"/>
      <w:spacing w:before="40" w:lineRule="auto"/>
      <w:ind w:left="1008" w:hanging="1008"/>
    </w:pPr>
    <w:rPr>
      <w:rFonts w:ascii="Trebuchet MS" w:cs="Trebuchet MS" w:eastAsia="Trebuchet MS" w:hAnsi="Trebuchet MS"/>
      <w:color w:val="084148"/>
    </w:rPr>
  </w:style>
  <w:style w:type="paragraph" w:styleId="Heading6">
    <w:name w:val="heading 6"/>
    <w:basedOn w:val="Normal"/>
    <w:next w:val="Normal"/>
    <w:pPr>
      <w:keepNext w:val="1"/>
      <w:keepLines w:val="1"/>
      <w:spacing w:before="40" w:lineRule="auto"/>
      <w:ind w:left="1152" w:hanging="1152"/>
    </w:pPr>
    <w:rPr>
      <w:rFonts w:ascii="Trebuchet MS" w:cs="Trebuchet MS" w:eastAsia="Trebuchet MS" w:hAnsi="Trebuchet MS"/>
      <w:color w:val="052b3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les@openconcept.ca" TargetMode="External"/><Relationship Id="rId5" Type="http://schemas.openxmlformats.org/officeDocument/2006/relationships/styles" Target="styles.xml"/><Relationship Id="rId6" Type="http://schemas.openxmlformats.org/officeDocument/2006/relationships/hyperlink" Target="https://www150.statcan.gc.ca/n1/daily-quotidien/181128/dq181128a-eng.htm"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openconcept.ca" TargetMode="External"/><Relationship Id="rId3" Type="http://schemas.openxmlformats.org/officeDocument/2006/relationships/hyperlink" Target="https://twitter.com/openconcept_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