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90f7f5951bf43327241ab84d15171bacfcb4d1"/>
    <w:p>
      <w:pPr>
        <w:pStyle w:val="Heading1"/>
      </w:pPr>
      <w:r>
        <w:t xml:space="preserve">Who Picked This MOSFET? Open-Source Data Standards and Component Selection for Power Converters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Alfonso Martinez</w:t>
      </w:r>
      <w:r>
        <w:t xml:space="preserve"> </w:t>
      </w:r>
      <w:r>
        <w:rPr>
          <w:bCs/>
          <w:b/>
        </w:rPr>
        <w:t xml:space="preserve">Affiliation:</w:t>
      </w:r>
      <w:r>
        <w:t xml:space="preserve"> </w:t>
      </w:r>
      <w:r>
        <w:t xml:space="preserve">Würth Elektronik</w:t>
      </w:r>
      <w:r>
        <w:t xml:space="preserve"> </w:t>
      </w:r>
      <w:r>
        <w:rPr>
          <w:bCs/>
          <w:b/>
        </w:rPr>
        <w:t xml:space="preserve">E-mail:</w:t>
      </w:r>
      <w:r>
        <w:t xml:space="preserve"> </w:t>
      </w:r>
      <w:r>
        <w:t xml:space="preserve">alfonso.martinez@we-online.com</w:t>
      </w:r>
      <w:r>
        <w:t xml:space="preserve"> </w:t>
      </w:r>
      <w:r>
        <w:rPr>
          <w:bCs/>
          <w:b/>
        </w:rPr>
        <w:t xml:space="preserve">Preferred topic:</w:t>
      </w:r>
      <w:r>
        <w:t xml:space="preserve"> </w:t>
      </w:r>
      <w:r>
        <w:t xml:space="preserve">Design Software and Tools (EDA software, AI in design, digital twins)</w:t>
      </w:r>
      <w:r>
        <w:t xml:space="preserve"> </w:t>
      </w:r>
      <w:r>
        <w:rPr>
          <w:bCs/>
          <w:b/>
        </w:rPr>
        <w:t xml:space="preserve">Keywords:</w:t>
      </w:r>
      <w:r>
        <w:t xml:space="preserve"> </w:t>
      </w:r>
      <w:r>
        <w:t xml:space="preserve">open standards, component database, power converters, design automation, reproducibility, second sourcing, AI-assisted design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Component selection sits at the heart of every power-converter design, yet it still relies on vendor portals, spreadsheets and ad-hoc scripts: irreproducible, unauditable and hard to automate. As design flows increasingly delegate choices to software — including AI assistants — reproducibility and auditability must become properties of the design data itself. We present a three-layer, fully open-source answer.</w:t>
      </w:r>
    </w:p>
    <w:p>
      <w:pPr>
        <w:pStyle w:val="BodyText"/>
      </w:pPr>
      <w:r>
        <w:t xml:space="preserve">The first layer is a family of vendor-neutral, machine-readable data formats developed under the Power Sources Manufacturers Association (PSMA). A common root (PEAS, the Power Electronics Agnostic Structure) fixes the shared physics in strict SI units; sibling formats cover every component class, from semiconductors and capacitors to magnetics and connectors, while the Topology Agnostic Structure (TAS) captures a complete design — requirements, components, connections and results — in one document.</w:t>
      </w:r>
    </w:p>
    <w:p>
      <w:pPr>
        <w:pStyle w:val="BodyText"/>
      </w:pPr>
      <w:r>
        <w:t xml:space="preserve">The second layer is an open database of more than 670,000 real, validated parts, normalised from manufacturer datasheets and checked for physical plausibility; records that fail verification are quarantined with a stated reason, never silently served.</w:t>
      </w:r>
    </w:p>
    <w:p>
      <w:pPr>
        <w:pStyle w:val="BodyText"/>
      </w:pPr>
      <w:r>
        <w:t xml:space="preserve">The third layer, Kelvin, is an open-source selection engine: a meticulous librarian, not a black box. From the design requirements it returns, in a fraction of a second, a ranked shortlist of real parts — every rejection counted with its reason, every candidate carrying its design margins — ready to be reviewed and signed off like any engineering document. The same requirements always yield the same shortlist, and equivalent parts from other manufacturers turn second-sourcing studies into a single query.</w:t>
      </w:r>
    </w:p>
    <w:bookmarkEnd w:id="20"/>
    <w:bookmarkStart w:id="21" w:name="speaker-bio-draft-edit-as-needed"/>
    <w:p>
      <w:pPr>
        <w:pStyle w:val="Heading2"/>
      </w:pPr>
      <w:r>
        <w:t xml:space="preserve">Speaker bio (draft — edit as needed)</w:t>
      </w:r>
    </w:p>
    <w:p>
      <w:pPr>
        <w:pStyle w:val="FirstParagraph"/>
      </w:pPr>
      <w:r>
        <w:t xml:space="preserve">Alfonso Martinez is a power-electronics engineer at Würth Elektronik. In his free time he created the OpenMagnetics open-source magnetics-design toolchain and is a lead author of the PSMA-hosted</w:t>
      </w:r>
      <w:r>
        <w:t xml:space="preserve"> </w:t>
      </w:r>
      <w:r>
        <w:t xml:space="preserve">“</w:t>
      </w:r>
      <w:r>
        <w:t xml:space="preserve">Agnostic Structure</w:t>
      </w:r>
      <w:r>
        <w:t xml:space="preserve">”</w:t>
      </w:r>
      <w:r>
        <w:t xml:space="preserve"> </w:t>
      </w:r>
      <w:r>
        <w:t xml:space="preserve">schema family and the open TAS component database, with a focus on reproducible, physics-checked engineering data and deterministic design tools.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2026-07-06T22:26:17Z</dcterms:created>
  <dcterms:modified xsi:type="dcterms:W3CDTF">2026-07-06T22:26:17Z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