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MUTUALLY AGREED ONE-WAY NON-DISCLOSURE AGREEMENT</w:t>
      </w:r>
    </w:p>
    <w:p>
      <w:pPr>
        <w:spacing w:after="240" w:line="276" w:lineRule="auto"/>
      </w:pPr>
      <w:r>
        <w:t>This Non-Disclosure Agreement (the "Agreement") is entered into by and between [Your Company Name] ("Discloser"), and the individual or entity accessing the accompanying materials via DocSend ("Recipient").</w:t>
      </w:r>
    </w:p>
    <w:p>
      <w:pPr>
        <w:spacing w:after="200" w:line="276" w:lineRule="auto"/>
      </w:pPr>
      <w:r>
        <w:rPr>
          <w:b/>
        </w:rPr>
        <w:t xml:space="preserve">1. Purpose. </w:t>
      </w:r>
      <w:r>
        <w:t>Discloser wishes to disclose certain proprietary and confidential information relating to its technology, business plans, and products (the "Purpose") to Recipient for evaluation purposes only.</w:t>
      </w:r>
    </w:p>
    <w:p>
      <w:pPr>
        <w:spacing w:after="200" w:line="276" w:lineRule="auto"/>
      </w:pPr>
      <w:r>
        <w:rPr>
          <w:b/>
        </w:rPr>
        <w:t xml:space="preserve">2. Confidential Information. </w:t>
      </w:r>
      <w:r>
        <w:t>"Confidential Information" means any proprietary information, technical data, trade secrets, or know-how disclosed by Discloser, whether orally or in writing, including but not limited to source code, product plans, research, and financial metrics, which is designated as confidential or should reasonably be understood to be confidential.</w:t>
      </w:r>
    </w:p>
    <w:p>
      <w:pPr>
        <w:spacing w:after="200" w:line="276" w:lineRule="auto"/>
      </w:pPr>
      <w:r>
        <w:rPr>
          <w:b/>
        </w:rPr>
        <w:t xml:space="preserve">3. Exclusions. </w:t>
      </w:r>
      <w:r>
        <w:t>Confidential Information does not include information that: (a) is or becomes publicly known through no breach by Recipient; (b) was already in Recipient’s lawful possession prior to disclosure; (c) is rightfully received from a third party without restriction; or (d) is independently developed by Recipient without use of Discloser’s Confidential Information.</w:t>
      </w:r>
    </w:p>
    <w:p>
      <w:pPr>
        <w:spacing w:after="200" w:line="276" w:lineRule="auto"/>
      </w:pPr>
      <w:r>
        <w:rPr>
          <w:b/>
        </w:rPr>
        <w:t xml:space="preserve">4. Obligations. </w:t>
      </w:r>
      <w:r>
        <w:t>Recipient agrees to: (a) hold the Confidential Information in strict confidence; (b) use it solely for the Purpose; and (c) restrict access to its employees or advisors who need to know and who are bound by confidentiality obligations at least as restrictive as these.</w:t>
      </w:r>
    </w:p>
    <w:p>
      <w:pPr>
        <w:spacing w:after="200" w:line="276" w:lineRule="auto"/>
      </w:pPr>
      <w:r>
        <w:rPr>
          <w:b/>
        </w:rPr>
        <w:t xml:space="preserve">5. Term. </w:t>
      </w:r>
      <w:r>
        <w:t>The obligations under this Agreement shall expire two (2) years from the date of access and disclosure.</w:t>
      </w:r>
    </w:p>
    <w:p>
      <w:pPr>
        <w:spacing w:after="200" w:line="276" w:lineRule="auto"/>
      </w:pPr>
      <w:r>
        <w:rPr>
          <w:b/>
        </w:rPr>
        <w:t xml:space="preserve">6. Governing Law. </w:t>
      </w:r>
      <w:r>
        <w:t>This Agreement shall be governed by and construed in accordance with the laws of [Your State/Country, e.g., the State of Delaware / Singapore], without reference to conflict of laws principles.</w:t>
      </w:r>
    </w:p>
    <w:p>
      <w:pPr>
        <w:spacing w:after="200" w:line="276" w:lineRule="auto"/>
      </w:pPr>
      <w:r>
        <w:rPr>
          <w:b/>
        </w:rPr>
        <w:t xml:space="preserve">7. Electronic Consent &amp; Execution. </w:t>
      </w:r>
      <w:r>
        <w:t>By clicking "I Accept", "Agree", or otherwise accessing the materials protected by this link, Recipient explicitly consents to the terms of this Agreement. The parties agree that the electronic record of access, timestamp, and audit trail generated by DocSend shall constitute a valid and legally binding signature under applicable electronic signature laws (including the ESIGN Act and UETA).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