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SimSun" w:hAnsi="SimSun"/>
          <w:b/>
          <w:sz w:val="28"/>
        </w:rPr>
        <w:t>单向保密协议（NDA）</w:t>
      </w:r>
    </w:p>
    <w:p>
      <w:pPr>
        <w:spacing w:after="240" w:line="276" w:lineRule="auto"/>
      </w:pPr>
      <w:r>
        <w:rPr>
          <w:rFonts w:ascii="SimSun" w:hAnsi="SimSun"/>
        </w:rPr>
        <w:t>本保密协议（以下简称“本协议”）由以下双方共同缔结：信息披露方为 [您的公司名称]（以下简称“披露方”），信息接收方为通过 DocSend 链接访问相关资料的个人或实体（以下简称“接收方”）。</w:t>
      </w:r>
    </w:p>
    <w:p>
      <w:pPr>
        <w:spacing w:after="200" w:line="276" w:lineRule="auto"/>
      </w:pPr>
      <w:r>
        <w:rPr>
          <w:rFonts w:ascii="SimSun" w:hAnsi="SimSun"/>
          <w:b/>
        </w:rPr>
        <w:t>1. 目的</w:t>
        <w:br/>
      </w:r>
      <w:r>
        <w:rPr>
          <w:rFonts w:ascii="SimSun" w:hAnsi="SimSun"/>
        </w:rPr>
        <w:t>披露方拟向接收方披露有关其技术、商业计划、产品及运营的自有的、保密的信息（以下简称“保密信息”），该披露仅限于双方进行商业合作可行性的评估与探讨之目的（以下简称“特定目的”）。</w:t>
      </w:r>
    </w:p>
    <w:p>
      <w:pPr>
        <w:spacing w:after="200" w:line="276" w:lineRule="auto"/>
      </w:pPr>
      <w:r>
        <w:rPr>
          <w:rFonts w:ascii="SimSun" w:hAnsi="SimSun"/>
          <w:b/>
        </w:rPr>
        <w:t>2. 保密信息的范围</w:t>
        <w:br/>
      </w:r>
      <w:r>
        <w:rPr>
          <w:rFonts w:ascii="SimSun" w:hAnsi="SimSun"/>
        </w:rPr>
        <w:t>“保密信息”指披露方披露的任何具有商业价值的、非公开的信息、技术数据、商业秘密，包括但不限于：商业计划书（Pitch Deck）、产品路线图、财务 data、源代码、技术架构等。无论该信息是以书面、口头还是电子形式披露。</w:t>
      </w:r>
    </w:p>
    <w:p>
      <w:pPr>
        <w:spacing w:after="200" w:line="276" w:lineRule="auto"/>
      </w:pPr>
      <w:r>
        <w:rPr>
          <w:rFonts w:ascii="SimSun" w:hAnsi="SimSun"/>
          <w:b/>
        </w:rPr>
        <w:t>3. 信息的排除</w:t>
        <w:br/>
      </w:r>
      <w:r>
        <w:rPr>
          <w:rFonts w:ascii="SimSun" w:hAnsi="SimSun"/>
        </w:rPr>
        <w:t>保密信息不包括以下信息：（1）非因接收方违反本协议而成为公开领域的已知信息；（2）在披露方披露前，接收方已合法占有的信息；（3）接收方从对该信息不负有保密义务的第三方处合法获得的信息：（4）接收方在未利用披露方保密信息的情况下独立开发的信息。</w:t>
      </w:r>
    </w:p>
    <w:p>
      <w:pPr>
        <w:spacing w:after="200" w:line="276" w:lineRule="auto"/>
      </w:pPr>
      <w:r>
        <w:rPr>
          <w:rFonts w:ascii="SimSun" w:hAnsi="SimSun"/>
          <w:b/>
        </w:rPr>
        <w:t>4. 保密义务</w:t>
        <w:br/>
      </w:r>
      <w:r>
        <w:rPr>
          <w:rFonts w:ascii="SimSun" w:hAnsi="SimSun"/>
        </w:rPr>
        <w:t>接收方同意：（1）对保密信息采取严格的保密措施：（2）仅为实现上述“特定目的”而使用保密信息，不得用于任何竞争性用途；（3）仅向确有必要知悉该信息且已签署等同保密条款的员工或专业顾问披露。</w:t>
      </w:r>
    </w:p>
    <w:p>
      <w:pPr>
        <w:spacing w:after="200" w:line="276" w:lineRule="auto"/>
      </w:pPr>
      <w:r>
        <w:rPr>
          <w:rFonts w:ascii="SimSun" w:hAnsi="SimSun"/>
          <w:b/>
        </w:rPr>
        <w:t>5. 保密期限</w:t>
        <w:br/>
      </w:r>
      <w:r>
        <w:rPr>
          <w:rFonts w:ascii="SimSun" w:hAnsi="SimSun"/>
        </w:rPr>
        <w:t>接收方的保密义务自其点击同意或访问本文件之日起生效，有效期为 贰（2）年。</w:t>
      </w:r>
    </w:p>
    <w:p>
      <w:pPr>
        <w:spacing w:after="200" w:line="276" w:lineRule="auto"/>
      </w:pPr>
      <w:r>
        <w:rPr>
          <w:rFonts w:ascii="SimSun" w:hAnsi="SimSun"/>
          <w:b/>
        </w:rPr>
        <w:t>6. 争议解决</w:t>
        <w:br/>
      </w:r>
      <w:r>
        <w:rPr>
          <w:rFonts w:ascii="SimSun" w:hAnsi="SimSun"/>
        </w:rPr>
        <w:t>本协议的成立、效力、解释及争议解决均适用 [中华人民共和国 / 其它适用地区] 法律。因本协议引起的任何争议，双方应友好协商解决；协商不成的，任何一方均有权向披露方所在地有管辖权的人民法院提起诉讼。</w:t>
      </w:r>
    </w:p>
    <w:p>
      <w:pPr>
        <w:spacing w:after="200" w:line="276" w:lineRule="auto"/>
      </w:pPr>
      <w:r>
        <w:rPr>
          <w:rFonts w:ascii="SimSun" w:hAnsi="SimSun"/>
          <w:b/>
        </w:rPr>
        <w:t>7. 电子签署效力</w:t>
        <w:br/>
      </w:r>
      <w:r>
        <w:rPr>
          <w:rFonts w:ascii="SimSun" w:hAnsi="SimSun"/>
        </w:rPr>
        <w:t>接收方在 DocSend 平台点击“我同意（I Accept）”、“同意（Agree）”或实际进入查阅受保护资料的行为，即视为接收方已完全理解并明确同意受本协议所有条款的约束。双方认可 DocSend 系统自动生成的访问记录、时间戳及审计日志（Audit Trail）具有完整的法律推力与证据效力。</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