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9333EA"/>
          <w:sz w:val="24"/>
          <w:szCs w:val="24"/>
        </w:rPr>
        <w:t xml:space="preserve">OpenDLP-LK</w:t>
      </w:r>
    </w:p>
    <w:p>
      <w:pPr>
        <w:pBdr>
          <w:bottom w:val="single" w:color="D1D5DB" w:sz="6" w:space="6"/>
        </w:pBdr>
        <w:spacing w:after="600"/>
      </w:pPr>
      <w:r>
        <w:rPr>
          <w:color w:val="4B5563"/>
          <w:sz w:val="18"/>
          <w:szCs w:val="18"/>
        </w:rPr>
        <w:t xml:space="preserve">Open-Source Data Loss Prevention for Sri Lankan Enterprises</w:t>
      </w:r>
    </w:p>
    <w:p>
      <w:pPr>
        <w:spacing w:after="200"/>
      </w:pPr>
      <w:r>
        <w:rPr>
          <w:b/>
          <w:bCs/>
          <w:color w:val="111827"/>
          <w:sz w:val="56"/>
          <w:szCs w:val="56"/>
        </w:rPr>
        <w:t xml:space="preserve">Data Classification Framework</w:t>
      </w:r>
    </w:p>
    <w:p>
      <w:pPr>
        <w:spacing w:after="600"/>
      </w:pPr>
      <w:r>
        <w:rPr>
          <w:color w:val="4B5563"/>
          <w:sz w:val="26"/>
          <w:szCs w:val="26"/>
        </w:rPr>
        <w:t xml:space="preserve">Complete framework with classification levels, labeling guidelines, handling rules and Sri Lankan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Document ID</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FRM-DC-001</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Version</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1.0 (template)</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Classification</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Internal</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Owner</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[Data Protection Officer / IT Security Manager]</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Approved by</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[Name, Title]</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Effective date</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[DD Month YYYY]</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Next review</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[DD Month YYYY — review at least annually]</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9E0B" w:sz="6"/>
              <w:left w:val="single" w:color="F59E0B" w:sz="18"/>
              <w:bottom w:val="single" w:color="F59E0B" w:sz="6"/>
              <w:right w:val="single" w:color="F59E0B" w:sz="6"/>
            </w:tcBorders>
            <w:shd w:fill="FFFBEB" w:val="clear"/>
            <w:tcMar>
              <w:top w:type="dxa" w:w="100"/>
              <w:left w:type="dxa" w:w="140"/>
              <w:bottom w:type="dxa" w:w="100"/>
              <w:right w:type="dxa" w:w="140"/>
            </w:tcMar>
          </w:tcPr>
          <w:p>
            <w:pPr>
              <w:spacing w:after="60"/>
            </w:pPr>
            <w:r>
              <w:rPr>
                <w:b/>
                <w:bCs/>
                <w:color w:val="92400E"/>
                <w:sz w:val="19"/>
                <w:szCs w:val="19"/>
              </w:rPr>
              <w:t xml:space="preserve">Customization required</w:t>
            </w:r>
          </w:p>
          <w:p>
            <w:r>
              <w:rPr>
                <w:color w:val="4B5563"/>
                <w:sz w:val="18"/>
                <w:szCs w:val="18"/>
              </w:rPr>
              <w:t xml:space="preserve">This template is a starting point published by the OpenDLP-LK community. Replace all bracketed placeholders, adapt the content to your organization’s size, industry and risk profile, and obtain legal review before adoption. Aligned with Sri Lanka’s Personal Data Protection Act (PDPA) No. 9 of 2022.</w:t>
            </w:r>
          </w:p>
        </w:tc>
      </w:tr>
    </w:tbl>
    <w:p>
      <w:pPr>
        <w:spacing w:after="160"/>
      </w:pPr>
    </w:p>
    <w:p>
      <w:pPr>
        <w:spacing w:before="600"/>
        <w:jc w:val="center"/>
      </w:pPr>
      <w:r>
        <w:rPr>
          <w:color w:val="9CA3AF"/>
          <w:sz w:val="16"/>
          <w:szCs w:val="16"/>
        </w:rPr>
        <w:t xml:space="preserve">https://opendlp-lk.github.io • Licensed under MIT — free to use, adapt and redistribute.</w:t>
      </w:r>
    </w:p>
    <w:p>
      <w:r>
        <w:br w:type="page"/>
      </w:r>
    </w:p>
    <w:p>
      <w:pPr>
        <w:pStyle w:val="Heading1"/>
        <w:pBdr>
          <w:bottom w:val="single" w:color="9333EA" w:sz="8" w:space="4"/>
        </w:pBdr>
        <w:spacing w:after="200" w:before="360"/>
      </w:pPr>
      <w:r>
        <w:rPr>
          <w:b/>
          <w:bCs/>
          <w:color w:val="9333EA"/>
          <w:sz w:val="32"/>
          <w:szCs w:val="32"/>
        </w:rPr>
        <w:t xml:space="preserve">1. Purpose</w:t>
      </w:r>
    </w:p>
    <w:p>
      <w:pPr>
        <w:spacing w:after="140" w:line="276"/>
      </w:pPr>
      <w:r>
        <w:rPr>
          <w:color w:val="4B5563"/>
          <w:sz w:val="20"/>
          <w:szCs w:val="20"/>
        </w:rPr>
        <w:t xml:space="preserve">This framework establishes how [Organization Name] categorizes data according to sensitivity and business impact, so that protection, handling and DLP enforcement are proportionate to risk. Consistent classification is the foundation of every DLP rule: content that carries a classification label (or matches a classified data pattern) drives blocking, encryption and alerting decisions.</w:t>
      </w:r>
    </w:p>
    <w:p>
      <w:pPr>
        <w:pStyle w:val="Heading1"/>
        <w:pBdr>
          <w:bottom w:val="single" w:color="9333EA" w:sz="8" w:space="4"/>
        </w:pBdr>
        <w:spacing w:after="200" w:before="360"/>
      </w:pPr>
      <w:r>
        <w:rPr>
          <w:b/>
          <w:bCs/>
          <w:color w:val="9333EA"/>
          <w:sz w:val="32"/>
          <w:szCs w:val="32"/>
        </w:rPr>
        <w:t xml:space="preserve">2. Classification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9%"/>
            <w:tcBorders>
              <w:top w:val="single" w:color="D1D5DB" w:sz="4"/>
              <w:left w:val="single" w:color="D1D5DB" w:sz="4"/>
              <w:bottom w:val="single" w:color="D1D5DB" w:sz="4"/>
              <w:right w:val="single" w:color="D1D5DB" w:sz="4"/>
            </w:tcBorders>
            <w:shd w:fill="9333EA" w:val="clear"/>
            <w:tcMar>
              <w:top w:type="dxa" w:w="60"/>
              <w:left w:type="dxa" w:w="100"/>
              <w:bottom w:type="dxa" w:w="60"/>
              <w:right w:type="dxa" w:w="100"/>
            </w:tcMar>
          </w:tcPr>
          <w:p>
            <w:r>
              <w:rPr>
                <w:b/>
                <w:bCs/>
                <w:color w:val="FFFFFF"/>
                <w:sz w:val="17"/>
                <w:szCs w:val="17"/>
              </w:rPr>
              <w:t xml:space="preserve">Level</w:t>
            </w:r>
          </w:p>
        </w:tc>
        <w:tc>
          <w:tcPr>
            <w:tcW w:type="pct" w:w="42%"/>
            <w:tcBorders>
              <w:top w:val="single" w:color="D1D5DB" w:sz="4"/>
              <w:left w:val="single" w:color="D1D5DB" w:sz="4"/>
              <w:bottom w:val="single" w:color="D1D5DB" w:sz="4"/>
              <w:right w:val="single" w:color="D1D5DB" w:sz="4"/>
            </w:tcBorders>
            <w:shd w:fill="9333EA" w:val="clear"/>
            <w:tcMar>
              <w:top w:type="dxa" w:w="60"/>
              <w:left w:type="dxa" w:w="100"/>
              <w:bottom w:type="dxa" w:w="60"/>
              <w:right w:type="dxa" w:w="100"/>
            </w:tcMar>
          </w:tcPr>
          <w:p>
            <w:r>
              <w:rPr>
                <w:b/>
                <w:bCs/>
                <w:color w:val="FFFFFF"/>
                <w:sz w:val="17"/>
                <w:szCs w:val="17"/>
              </w:rPr>
              <w:t xml:space="preserve">Definition</w:t>
            </w:r>
          </w:p>
        </w:tc>
        <w:tc>
          <w:tcPr>
            <w:tcW w:type="pct" w:w="39%"/>
            <w:tcBorders>
              <w:top w:val="single" w:color="D1D5DB" w:sz="4"/>
              <w:left w:val="single" w:color="D1D5DB" w:sz="4"/>
              <w:bottom w:val="single" w:color="D1D5DB" w:sz="4"/>
              <w:right w:val="single" w:color="D1D5DB" w:sz="4"/>
            </w:tcBorders>
            <w:shd w:fill="9333EA" w:val="clear"/>
            <w:tcMar>
              <w:top w:type="dxa" w:w="60"/>
              <w:left w:type="dxa" w:w="100"/>
              <w:bottom w:type="dxa" w:w="60"/>
              <w:right w:type="dxa" w:w="100"/>
            </w:tcMar>
          </w:tcPr>
          <w:p>
            <w:r>
              <w:rPr>
                <w:b/>
                <w:bCs/>
                <w:color w:val="FFFFFF"/>
                <w:sz w:val="17"/>
                <w:szCs w:val="17"/>
              </w:rPr>
              <w:t xml:space="preserve">Impact of unauthorized disclosure</w:t>
            </w:r>
          </w:p>
        </w:tc>
      </w:tr>
      <w:tr>
        <w:tc>
          <w:tcPr>
            <w:tcW w:type="pct" w:w="1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RESTRICTED</w:t>
            </w:r>
          </w:p>
        </w:tc>
        <w:tc>
          <w:tcPr>
            <w:tcW w:type="pct" w:w="42%"/>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Highly sensitive data whose disclosure could cause severe damage to the organization or individuals.</w:t>
            </w:r>
          </w:p>
        </w:tc>
        <w:tc>
          <w:tcPr>
            <w:tcW w:type="pct" w:w="3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Severe: regulatory penalties, identity theft, major financial/reputational loss.</w:t>
            </w:r>
          </w:p>
        </w:tc>
      </w:tr>
      <w:tr>
        <w:tc>
          <w:tcPr>
            <w:tcW w:type="pct" w:w="1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CONFIDENTIAL</w:t>
            </w:r>
          </w:p>
        </w:tc>
        <w:tc>
          <w:tcPr>
            <w:tcW w:type="pct" w:w="4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Sensitive business or personal data intended for limited, named audiences.</w:t>
            </w:r>
          </w:p>
        </w:tc>
        <w:tc>
          <w:tcPr>
            <w:tcW w:type="pct" w:w="3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Serious: competitive harm, contractual breach, harm to individuals.</w:t>
            </w:r>
          </w:p>
        </w:tc>
      </w:tr>
      <w:tr>
        <w:tc>
          <w:tcPr>
            <w:tcW w:type="pct" w:w="1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INTERNAL</w:t>
            </w:r>
          </w:p>
        </w:tc>
        <w:tc>
          <w:tcPr>
            <w:tcW w:type="pct" w:w="42%"/>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Routine business data intended for staff use only.</w:t>
            </w:r>
          </w:p>
        </w:tc>
        <w:tc>
          <w:tcPr>
            <w:tcW w:type="pct" w:w="3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Limited: embarrassment or minor operational impact.</w:t>
            </w:r>
          </w:p>
        </w:tc>
      </w:tr>
      <w:tr>
        <w:tc>
          <w:tcPr>
            <w:tcW w:type="pct" w:w="1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PUBLIC</w:t>
            </w:r>
          </w:p>
        </w:tc>
        <w:tc>
          <w:tcPr>
            <w:tcW w:type="pct" w:w="4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Information approved for public release.</w:t>
            </w:r>
          </w:p>
        </w:tc>
        <w:tc>
          <w:tcPr>
            <w:tcW w:type="pct" w:w="3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None: already intended for disclosure.</w:t>
            </w:r>
          </w:p>
        </w:tc>
      </w:tr>
    </w:tbl>
    <w:p>
      <w:pPr>
        <w:spacing w:after="160"/>
      </w:pPr>
    </w:p>
    <w:p>
      <w:pPr>
        <w:pStyle w:val="Heading2"/>
        <w:spacing w:after="120" w:before="240"/>
      </w:pPr>
      <w:r>
        <w:rPr>
          <w:b/>
          <w:bCs/>
          <w:color w:val="111827"/>
          <w:sz w:val="25"/>
          <w:szCs w:val="25"/>
        </w:rPr>
        <w:t xml:space="preserve">Sri Lankan examples per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D1D5DB" w:sz="4"/>
              <w:left w:val="single" w:color="D1D5DB" w:sz="4"/>
              <w:bottom w:val="single" w:color="D1D5DB" w:sz="4"/>
              <w:right w:val="single" w:color="D1D5DB" w:sz="4"/>
            </w:tcBorders>
            <w:shd w:fill="9333EA" w:val="clear"/>
            <w:tcMar>
              <w:top w:type="dxa" w:w="60"/>
              <w:left w:type="dxa" w:w="100"/>
              <w:bottom w:type="dxa" w:w="60"/>
              <w:right w:type="dxa" w:w="100"/>
            </w:tcMar>
          </w:tcPr>
          <w:p>
            <w:r>
              <w:rPr>
                <w:b/>
                <w:bCs/>
                <w:color w:val="FFFFFF"/>
                <w:sz w:val="17"/>
                <w:szCs w:val="17"/>
              </w:rPr>
              <w:t xml:space="preserve">Level</w:t>
            </w:r>
          </w:p>
        </w:tc>
        <w:tc>
          <w:tcPr>
            <w:tcW w:type="pct" w:w="78%"/>
            <w:tcBorders>
              <w:top w:val="single" w:color="D1D5DB" w:sz="4"/>
              <w:left w:val="single" w:color="D1D5DB" w:sz="4"/>
              <w:bottom w:val="single" w:color="D1D5DB" w:sz="4"/>
              <w:right w:val="single" w:color="D1D5DB" w:sz="4"/>
            </w:tcBorders>
            <w:shd w:fill="9333EA" w:val="clear"/>
            <w:tcMar>
              <w:top w:type="dxa" w:w="60"/>
              <w:left w:type="dxa" w:w="100"/>
              <w:bottom w:type="dxa" w:w="60"/>
              <w:right w:type="dxa" w:w="100"/>
            </w:tcMar>
          </w:tcPr>
          <w:p>
            <w:r>
              <w:rPr>
                <w:b/>
                <w:bCs/>
                <w:color w:val="FFFFFF"/>
                <w:sz w:val="17"/>
                <w:szCs w:val="17"/>
              </w:rPr>
              <w:t xml:space="preserve">Examples</w:t>
            </w:r>
          </w:p>
        </w:tc>
      </w:tr>
      <w:tr>
        <w:tc>
          <w:tcPr>
            <w:tcW w:type="pct" w:w="22%"/>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RESTRICTED</w:t>
            </w:r>
          </w:p>
        </w:tc>
        <w:tc>
          <w:tcPr>
            <w:tcW w:type="pct" w:w="7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NIC numbers (old 9+V/X and new 12-digit formats), passport numbers, driving license numbers, bank account and card numbers, health records, biometric data, authentication credentials, special-category personal data under the PDPA.</w:t>
            </w:r>
          </w:p>
        </w:tc>
      </w:tr>
      <w:tr>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CONFIDENTIAL</w:t>
            </w:r>
          </w:p>
        </w:tc>
        <w:tc>
          <w:tcPr>
            <w:tcW w:type="pct" w:w="7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Employee records and salaries, customer lists with contact details, contracts, unpublished financials, strategic plans, source code, vendor pricing.</w:t>
            </w:r>
          </w:p>
        </w:tc>
      </w:tr>
      <w:tr>
        <w:tc>
          <w:tcPr>
            <w:tcW w:type="pct" w:w="22%"/>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INTERNAL</w:t>
            </w:r>
          </w:p>
        </w:tc>
        <w:tc>
          <w:tcPr>
            <w:tcW w:type="pct" w:w="7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Internal memos, SOPs, organizational charts, meeting minutes, project schedules, internal telephone directory.</w:t>
            </w:r>
          </w:p>
        </w:tc>
      </w:tr>
      <w:tr>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PUBLIC</w:t>
            </w:r>
          </w:p>
        </w:tc>
        <w:tc>
          <w:tcPr>
            <w:tcW w:type="pct" w:w="7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Marketing brochures, published annual reports, press releases, public website content, job advertisements.</w:t>
            </w:r>
          </w:p>
        </w:tc>
      </w:tr>
    </w:tbl>
    <w:p>
      <w:pPr>
        <w:spacing w:after="160"/>
      </w:pPr>
    </w:p>
    <w:p>
      <w:pPr>
        <w:pStyle w:val="Heading1"/>
        <w:pBdr>
          <w:bottom w:val="single" w:color="9333EA" w:sz="8" w:space="4"/>
        </w:pBdr>
        <w:spacing w:after="200" w:before="360"/>
      </w:pPr>
      <w:r>
        <w:rPr>
          <w:b/>
          <w:bCs/>
          <w:color w:val="9333EA"/>
          <w:sz w:val="32"/>
          <w:szCs w:val="32"/>
        </w:rPr>
        <w:t xml:space="preserve">3. Protection Requirements by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3%"/>
            <w:tcBorders>
              <w:top w:val="single" w:color="D1D5DB" w:sz="4"/>
              <w:left w:val="single" w:color="D1D5DB" w:sz="4"/>
              <w:bottom w:val="single" w:color="D1D5DB" w:sz="4"/>
              <w:right w:val="single" w:color="D1D5DB" w:sz="4"/>
            </w:tcBorders>
            <w:shd w:fill="9333EA" w:val="clear"/>
            <w:tcMar>
              <w:top w:type="dxa" w:w="60"/>
              <w:left w:type="dxa" w:w="100"/>
              <w:bottom w:type="dxa" w:w="60"/>
              <w:right w:type="dxa" w:w="100"/>
            </w:tcMar>
          </w:tcPr>
          <w:p>
            <w:r>
              <w:rPr>
                <w:b/>
                <w:bCs/>
                <w:color w:val="FFFFFF"/>
                <w:sz w:val="17"/>
                <w:szCs w:val="17"/>
              </w:rPr>
              <w:t xml:space="preserve">Control</w:t>
            </w:r>
          </w:p>
        </w:tc>
        <w:tc>
          <w:tcPr>
            <w:tcW w:type="pct" w:w="21%"/>
            <w:tcBorders>
              <w:top w:val="single" w:color="D1D5DB" w:sz="4"/>
              <w:left w:val="single" w:color="D1D5DB" w:sz="4"/>
              <w:bottom w:val="single" w:color="D1D5DB" w:sz="4"/>
              <w:right w:val="single" w:color="D1D5DB" w:sz="4"/>
            </w:tcBorders>
            <w:shd w:fill="9333EA" w:val="clear"/>
            <w:tcMar>
              <w:top w:type="dxa" w:w="60"/>
              <w:left w:type="dxa" w:w="100"/>
              <w:bottom w:type="dxa" w:w="60"/>
              <w:right w:type="dxa" w:w="100"/>
            </w:tcMar>
          </w:tcPr>
          <w:p>
            <w:r>
              <w:rPr>
                <w:b/>
                <w:bCs/>
                <w:color w:val="FFFFFF"/>
                <w:sz w:val="17"/>
                <w:szCs w:val="17"/>
              </w:rPr>
              <w:t xml:space="preserve">RESTRICTED</w:t>
            </w:r>
          </w:p>
        </w:tc>
        <w:tc>
          <w:tcPr>
            <w:tcW w:type="pct" w:w="24%"/>
            <w:tcBorders>
              <w:top w:val="single" w:color="D1D5DB" w:sz="4"/>
              <w:left w:val="single" w:color="D1D5DB" w:sz="4"/>
              <w:bottom w:val="single" w:color="D1D5DB" w:sz="4"/>
              <w:right w:val="single" w:color="D1D5DB" w:sz="4"/>
            </w:tcBorders>
            <w:shd w:fill="9333EA" w:val="clear"/>
            <w:tcMar>
              <w:top w:type="dxa" w:w="60"/>
              <w:left w:type="dxa" w:w="100"/>
              <w:bottom w:type="dxa" w:w="60"/>
              <w:right w:type="dxa" w:w="100"/>
            </w:tcMar>
          </w:tcPr>
          <w:p>
            <w:r>
              <w:rPr>
                <w:b/>
                <w:bCs/>
                <w:color w:val="FFFFFF"/>
                <w:sz w:val="17"/>
                <w:szCs w:val="17"/>
              </w:rPr>
              <w:t xml:space="preserve">CONFIDENTIAL</w:t>
            </w:r>
          </w:p>
        </w:tc>
        <w:tc>
          <w:tcPr>
            <w:tcW w:type="pct" w:w="18%"/>
            <w:tcBorders>
              <w:top w:val="single" w:color="D1D5DB" w:sz="4"/>
              <w:left w:val="single" w:color="D1D5DB" w:sz="4"/>
              <w:bottom w:val="single" w:color="D1D5DB" w:sz="4"/>
              <w:right w:val="single" w:color="D1D5DB" w:sz="4"/>
            </w:tcBorders>
            <w:shd w:fill="9333EA" w:val="clear"/>
            <w:tcMar>
              <w:top w:type="dxa" w:w="60"/>
              <w:left w:type="dxa" w:w="100"/>
              <w:bottom w:type="dxa" w:w="60"/>
              <w:right w:type="dxa" w:w="100"/>
            </w:tcMar>
          </w:tcPr>
          <w:p>
            <w:r>
              <w:rPr>
                <w:b/>
                <w:bCs/>
                <w:color w:val="FFFFFF"/>
                <w:sz w:val="17"/>
                <w:szCs w:val="17"/>
              </w:rPr>
              <w:t xml:space="preserve">INTERNAL</w:t>
            </w:r>
          </w:p>
        </w:tc>
        <w:tc>
          <w:tcPr>
            <w:tcW w:type="pct" w:w="15%"/>
            <w:tcBorders>
              <w:top w:val="single" w:color="D1D5DB" w:sz="4"/>
              <w:left w:val="single" w:color="D1D5DB" w:sz="4"/>
              <w:bottom w:val="single" w:color="D1D5DB" w:sz="4"/>
              <w:right w:val="single" w:color="D1D5DB" w:sz="4"/>
            </w:tcBorders>
            <w:shd w:fill="9333EA" w:val="clear"/>
            <w:tcMar>
              <w:top w:type="dxa" w:w="60"/>
              <w:left w:type="dxa" w:w="100"/>
              <w:bottom w:type="dxa" w:w="60"/>
              <w:right w:type="dxa" w:w="100"/>
            </w:tcMar>
          </w:tcPr>
          <w:p>
            <w:r>
              <w:rPr>
                <w:b/>
                <w:bCs/>
                <w:color w:val="FFFFFF"/>
                <w:sz w:val="17"/>
                <w:szCs w:val="17"/>
              </w:rPr>
              <w:t xml:space="preserve">PUBLIC</w:t>
            </w:r>
          </w:p>
        </w:tc>
      </w:tr>
      <w:tr>
        <w:tc>
          <w:tcPr>
            <w:tcW w:type="pct" w:w="2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Encryption at rest</w:t>
            </w:r>
          </w:p>
        </w:tc>
        <w:tc>
          <w:tcPr>
            <w:tcW w:type="pct" w:w="2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AES-256 mandatory</w:t>
            </w:r>
          </w:p>
        </w:tc>
        <w:tc>
          <w:tcPr>
            <w:tcW w:type="pct" w:w="2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Required on portable devices</w:t>
            </w:r>
          </w:p>
        </w:tc>
        <w:tc>
          <w:tcPr>
            <w:tcW w:type="pct" w:w="1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Recommended</w:t>
            </w:r>
          </w:p>
        </w:tc>
        <w:tc>
          <w:tcPr>
            <w:tcW w:type="pct" w:w="1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Not required</w:t>
            </w:r>
          </w:p>
        </w:tc>
      </w:tr>
      <w:tr>
        <w:tc>
          <w:tcPr>
            <w:tcW w:type="pct" w:w="2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Encryption in transit</w:t>
            </w:r>
          </w:p>
        </w:tc>
        <w:tc>
          <w:tcPr>
            <w:tcW w:type="pct" w:w="21%"/>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TLS 1.2+ mandatory</w:t>
            </w:r>
          </w:p>
        </w:tc>
        <w:tc>
          <w:tcPr>
            <w:tcW w:type="pct" w:w="2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TLS 1.2+ mandatory</w:t>
            </w:r>
          </w:p>
        </w:tc>
        <w:tc>
          <w:tcPr>
            <w:tcW w:type="pct" w:w="1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TLS recommended</w:t>
            </w:r>
          </w:p>
        </w:tc>
        <w:tc>
          <w:tcPr>
            <w:tcW w:type="pct" w:w="1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Not required</w:t>
            </w:r>
          </w:p>
        </w:tc>
      </w:tr>
      <w:tr>
        <w:tc>
          <w:tcPr>
            <w:tcW w:type="pct" w:w="2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Access control</w:t>
            </w:r>
          </w:p>
        </w:tc>
        <w:tc>
          <w:tcPr>
            <w:tcW w:type="pct" w:w="2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Named individuals + MFA</w:t>
            </w:r>
          </w:p>
        </w:tc>
        <w:tc>
          <w:tcPr>
            <w:tcW w:type="pct" w:w="2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Role-based (RBAC)</w:t>
            </w:r>
          </w:p>
        </w:tc>
        <w:tc>
          <w:tcPr>
            <w:tcW w:type="pct" w:w="1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All staff</w:t>
            </w:r>
          </w:p>
        </w:tc>
        <w:tc>
          <w:tcPr>
            <w:tcW w:type="pct" w:w="1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Unrestricted</w:t>
            </w:r>
          </w:p>
        </w:tc>
      </w:tr>
      <w:tr>
        <w:tc>
          <w:tcPr>
            <w:tcW w:type="pct" w:w="2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External sharing</w:t>
            </w:r>
          </w:p>
        </w:tc>
        <w:tc>
          <w:tcPr>
            <w:tcW w:type="pct" w:w="21%"/>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Prohibited without DPO approval</w:t>
            </w:r>
          </w:p>
        </w:tc>
        <w:tc>
          <w:tcPr>
            <w:tcW w:type="pct" w:w="2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Requires manager approval + secure channel</w:t>
            </w:r>
          </w:p>
        </w:tc>
        <w:tc>
          <w:tcPr>
            <w:tcW w:type="pct" w:w="1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Not for public distribution</w:t>
            </w:r>
          </w:p>
        </w:tc>
        <w:tc>
          <w:tcPr>
            <w:tcW w:type="pct" w:w="1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Permitted</w:t>
            </w:r>
          </w:p>
        </w:tc>
      </w:tr>
      <w:tr>
        <w:tc>
          <w:tcPr>
            <w:tcW w:type="pct" w:w="2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DLP action on egress</w:t>
            </w:r>
          </w:p>
        </w:tc>
        <w:tc>
          <w:tcPr>
            <w:tcW w:type="pct" w:w="2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Block + alert</w:t>
            </w:r>
          </w:p>
        </w:tc>
        <w:tc>
          <w:tcPr>
            <w:tcW w:type="pct" w:w="2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Warn/justify + alert</w:t>
            </w:r>
          </w:p>
        </w:tc>
        <w:tc>
          <w:tcPr>
            <w:tcW w:type="pct" w:w="1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Log only</w:t>
            </w:r>
          </w:p>
        </w:tc>
        <w:tc>
          <w:tcPr>
            <w:tcW w:type="pct" w:w="1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None</w:t>
            </w:r>
          </w:p>
        </w:tc>
      </w:tr>
      <w:tr>
        <w:tc>
          <w:tcPr>
            <w:tcW w:type="pct" w:w="2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Printing</w:t>
            </w:r>
          </w:p>
        </w:tc>
        <w:tc>
          <w:tcPr>
            <w:tcW w:type="pct" w:w="21%"/>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Secure-release printing only</w:t>
            </w:r>
          </w:p>
        </w:tc>
        <w:tc>
          <w:tcPr>
            <w:tcW w:type="pct" w:w="2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Collect immediately; shred after use</w:t>
            </w:r>
          </w:p>
        </w:tc>
        <w:tc>
          <w:tcPr>
            <w:tcW w:type="pct" w:w="1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Standard care</w:t>
            </w:r>
          </w:p>
        </w:tc>
        <w:tc>
          <w:tcPr>
            <w:tcW w:type="pct" w:w="1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Unrestricted</w:t>
            </w:r>
          </w:p>
        </w:tc>
      </w:tr>
      <w:tr>
        <w:tc>
          <w:tcPr>
            <w:tcW w:type="pct" w:w="2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Retention &amp; disposal</w:t>
            </w:r>
          </w:p>
        </w:tc>
        <w:tc>
          <w:tcPr>
            <w:tcW w:type="pct" w:w="2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Per retention schedule; certified destruction</w:t>
            </w:r>
          </w:p>
        </w:tc>
        <w:tc>
          <w:tcPr>
            <w:tcW w:type="pct" w:w="2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Per retention schedule; secure deletion</w:t>
            </w:r>
          </w:p>
        </w:tc>
        <w:tc>
          <w:tcPr>
            <w:tcW w:type="pct" w:w="1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Routine disposal</w:t>
            </w:r>
          </w:p>
        </w:tc>
        <w:tc>
          <w:tcPr>
            <w:tcW w:type="pct" w:w="1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Routine disposal</w:t>
            </w:r>
          </w:p>
        </w:tc>
      </w:tr>
      <w:tr>
        <w:tc>
          <w:tcPr>
            <w:tcW w:type="pct" w:w="2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Access logging</w:t>
            </w:r>
          </w:p>
        </w:tc>
        <w:tc>
          <w:tcPr>
            <w:tcW w:type="pct" w:w="21%"/>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Full audit trail, reviewed monthly</w:t>
            </w:r>
          </w:p>
        </w:tc>
        <w:tc>
          <w:tcPr>
            <w:tcW w:type="pct" w:w="2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Logged, reviewed quarterly</w:t>
            </w:r>
          </w:p>
        </w:tc>
        <w:tc>
          <w:tcPr>
            <w:tcW w:type="pct" w:w="1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Basic logging</w:t>
            </w:r>
          </w:p>
        </w:tc>
        <w:tc>
          <w:tcPr>
            <w:tcW w:type="pct" w:w="1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None</w:t>
            </w:r>
          </w:p>
        </w:tc>
      </w:tr>
    </w:tbl>
    <w:p>
      <w:pPr>
        <w:spacing w:after="160"/>
      </w:pPr>
    </w:p>
    <w:p>
      <w:pPr>
        <w:pStyle w:val="Heading1"/>
        <w:pBdr>
          <w:bottom w:val="single" w:color="9333EA" w:sz="8" w:space="4"/>
        </w:pBdr>
        <w:spacing w:after="200" w:before="360"/>
      </w:pPr>
      <w:r>
        <w:rPr>
          <w:b/>
          <w:bCs/>
          <w:color w:val="9333EA"/>
          <w:sz w:val="32"/>
          <w:szCs w:val="32"/>
        </w:rPr>
        <w:t xml:space="preserve">4. Labeling Guidelines</w:t>
      </w:r>
    </w:p>
    <w:p>
      <w:pPr>
        <w:pStyle w:val="ListParagraph"/>
        <w:numPr>
          <w:ilvl w:val="0"/>
          <w:numId w:val="1"/>
        </w:numPr>
        <w:spacing w:after="80" w:line="260"/>
      </w:pPr>
      <w:r>
        <w:rPr>
          <w:color w:val="4B5563"/>
          <w:sz w:val="20"/>
          <w:szCs w:val="20"/>
        </w:rPr>
        <w:t xml:space="preserve">Documents: include the classification in the header or footer of every page, e.g. “CONFIDENTIAL — [Organization Name]”. Templates should default to Internal.</w:t>
      </w:r>
    </w:p>
    <w:p>
      <w:pPr>
        <w:pStyle w:val="ListParagraph"/>
        <w:numPr>
          <w:ilvl w:val="0"/>
          <w:numId w:val="1"/>
        </w:numPr>
        <w:spacing w:after="80" w:line="260"/>
      </w:pPr>
      <w:r>
        <w:rPr>
          <w:color w:val="4B5563"/>
          <w:sz w:val="20"/>
          <w:szCs w:val="20"/>
        </w:rPr>
        <w:t xml:space="preserve">Email: prefix the subject line with the label for Confidential and Restricted messages, e.g. “[RESTRICTED] Q3 payroll file”, and/or apply sensitivity labels in Microsoft 365 / Google Workspace.</w:t>
      </w:r>
    </w:p>
    <w:p>
      <w:pPr>
        <w:pStyle w:val="ListParagraph"/>
        <w:numPr>
          <w:ilvl w:val="0"/>
          <w:numId w:val="1"/>
        </w:numPr>
        <w:spacing w:after="80" w:line="260"/>
      </w:pPr>
      <w:r>
        <w:rPr>
          <w:color w:val="4B5563"/>
          <w:sz w:val="20"/>
          <w:szCs w:val="20"/>
        </w:rPr>
        <w:t xml:space="preserve">Files and folders: apply metadata labels via the document management or sensitivity-labeling tool so DLP can read them; where unavailable, use folder naming conventions.</w:t>
      </w:r>
    </w:p>
    <w:p>
      <w:pPr>
        <w:pStyle w:val="ListParagraph"/>
        <w:numPr>
          <w:ilvl w:val="0"/>
          <w:numId w:val="1"/>
        </w:numPr>
        <w:spacing w:after="80" w:line="260"/>
      </w:pPr>
      <w:r>
        <w:rPr>
          <w:color w:val="4B5563"/>
          <w:sz w:val="20"/>
          <w:szCs w:val="20"/>
        </w:rPr>
        <w:t xml:space="preserve">Databases: record classification at column level in the data inventory (e.g. customers.nic_number = RESTRICTED) to drive masking and access rules.</w:t>
      </w:r>
    </w:p>
    <w:p>
      <w:pPr>
        <w:pStyle w:val="ListParagraph"/>
        <w:numPr>
          <w:ilvl w:val="0"/>
          <w:numId w:val="1"/>
        </w:numPr>
        <w:spacing w:after="80" w:line="260"/>
      </w:pPr>
      <w:r>
        <w:rPr>
          <w:color w:val="4B5563"/>
          <w:sz w:val="20"/>
          <w:szCs w:val="20"/>
        </w:rPr>
        <w:t xml:space="preserve">Physical media: mark printed documents, USB drives and backup tapes with visible classification stickers.</w:t>
      </w:r>
    </w:p>
    <w:p>
      <w:pPr>
        <w:spacing w:after="60"/>
      </w:pPr>
    </w:p>
    <w:p>
      <w:pPr>
        <w:pStyle w:val="Heading1"/>
        <w:pBdr>
          <w:bottom w:val="single" w:color="9333EA" w:sz="8" w:space="4"/>
        </w:pBdr>
        <w:spacing w:after="200" w:before="360"/>
      </w:pPr>
      <w:r>
        <w:rPr>
          <w:b/>
          <w:bCs/>
          <w:color w:val="9333EA"/>
          <w:sz w:val="32"/>
          <w:szCs w:val="32"/>
        </w:rPr>
        <w:t xml:space="preserve">5. Classification Decision Guide</w:t>
      </w:r>
    </w:p>
    <w:p>
      <w:pPr>
        <w:spacing w:after="140" w:line="276"/>
      </w:pPr>
      <w:r>
        <w:rPr>
          <w:color w:val="4B5563"/>
          <w:sz w:val="20"/>
          <w:szCs w:val="20"/>
        </w:rPr>
        <w:t xml:space="preserve">Ask in order; classify at the first “yes”:</w:t>
      </w:r>
    </w:p>
    <w:p>
      <w:pPr>
        <w:spacing w:after="80" w:line="260"/>
        <w:ind w:left="360"/>
      </w:pPr>
      <w:r>
        <w:rPr>
          <w:color w:val="4B5563"/>
          <w:sz w:val="20"/>
          <w:szCs w:val="20"/>
        </w:rPr>
        <w:t xml:space="preserve">→ Does it contain identifiers usable for identity theft or fraud (NIC, passport, financial, health, biometric, credentials) or special-category personal data? → RESTRICTED</w:t>
      </w:r>
    </w:p>
    <w:p>
      <w:pPr>
        <w:spacing w:after="80" w:line="260"/>
        <w:ind w:left="360"/>
      </w:pPr>
      <w:r>
        <w:rPr>
          <w:color w:val="4B5563"/>
          <w:sz w:val="20"/>
          <w:szCs w:val="20"/>
        </w:rPr>
        <w:t xml:space="preserve">→ Could disclosure harm the organization, a client or an individual (contracts, personnel data, unpublished financials)? → CONFIDENTIAL</w:t>
      </w:r>
    </w:p>
    <w:p>
      <w:pPr>
        <w:spacing w:after="80" w:line="260"/>
        <w:ind w:left="360"/>
      </w:pPr>
      <w:r>
        <w:rPr>
          <w:color w:val="4B5563"/>
          <w:sz w:val="20"/>
          <w:szCs w:val="20"/>
        </w:rPr>
        <w:t xml:space="preserve">→ Is it meant only for staff, without external audience? → INTERNAL</w:t>
      </w:r>
    </w:p>
    <w:p>
      <w:pPr>
        <w:spacing w:after="80" w:line="260"/>
        <w:ind w:left="360"/>
      </w:pPr>
      <w:r>
        <w:rPr>
          <w:color w:val="4B5563"/>
          <w:sz w:val="20"/>
          <w:szCs w:val="20"/>
        </w:rPr>
        <w:t xml:space="preserve">→ Has it been approved for public release by [Communications]? → PUBLIC</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333EA" w:sz="6"/>
              <w:left w:val="single" w:color="9333EA" w:sz="18"/>
              <w:bottom w:val="single" w:color="9333EA" w:sz="6"/>
              <w:right w:val="single" w:color="9333EA" w:sz="6"/>
            </w:tcBorders>
            <w:shd w:fill="F0F9FF" w:val="clear"/>
            <w:tcMar>
              <w:top w:type="dxa" w:w="100"/>
              <w:left w:type="dxa" w:w="140"/>
              <w:bottom w:type="dxa" w:w="100"/>
              <w:right w:type="dxa" w:w="140"/>
            </w:tcMar>
          </w:tcPr>
          <w:p>
            <w:pPr>
              <w:spacing w:after="60"/>
            </w:pPr>
            <w:r>
              <w:rPr>
                <w:b/>
                <w:bCs/>
                <w:color w:val="9333EA"/>
                <w:sz w:val="19"/>
                <w:szCs w:val="19"/>
              </w:rPr>
              <w:t xml:space="preserve">Default rule</w:t>
            </w:r>
          </w:p>
          <w:p>
            <w:r>
              <w:rPr>
                <w:color w:val="4B5563"/>
                <w:sz w:val="18"/>
                <w:szCs w:val="18"/>
              </w:rPr>
              <w:t xml:space="preserve">If in doubt, classify one level higher and consult the data owner. Aggregated data inherits the level of its most sensitive element — a spreadsheet of 10,000 rows containing one NIC column is RESTRICTED.</w:t>
            </w:r>
          </w:p>
        </w:tc>
      </w:tr>
    </w:tbl>
    <w:p>
      <w:pPr>
        <w:spacing w:after="160"/>
      </w:pPr>
    </w:p>
    <w:p>
      <w:pPr>
        <w:pStyle w:val="Heading1"/>
        <w:pBdr>
          <w:bottom w:val="single" w:color="9333EA" w:sz="8" w:space="4"/>
        </w:pBdr>
        <w:spacing w:after="200" w:before="360"/>
      </w:pPr>
      <w:r>
        <w:rPr>
          <w:b/>
          <w:bCs/>
          <w:color w:val="9333EA"/>
          <w:sz w:val="32"/>
          <w:szCs w:val="32"/>
        </w:rPr>
        <w:t xml:space="preserve">6. Roles and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D1D5DB" w:sz="4"/>
              <w:left w:val="single" w:color="D1D5DB" w:sz="4"/>
              <w:bottom w:val="single" w:color="D1D5DB" w:sz="4"/>
              <w:right w:val="single" w:color="D1D5DB" w:sz="4"/>
            </w:tcBorders>
            <w:shd w:fill="9333EA" w:val="clear"/>
            <w:tcMar>
              <w:top w:type="dxa" w:w="60"/>
              <w:left w:type="dxa" w:w="100"/>
              <w:bottom w:type="dxa" w:w="60"/>
              <w:right w:type="dxa" w:w="100"/>
            </w:tcMar>
          </w:tcPr>
          <w:p>
            <w:r>
              <w:rPr>
                <w:b/>
                <w:bCs/>
                <w:color w:val="FFFFFF"/>
                <w:sz w:val="17"/>
                <w:szCs w:val="17"/>
              </w:rPr>
              <w:t xml:space="preserve">Role</w:t>
            </w:r>
          </w:p>
        </w:tc>
        <w:tc>
          <w:tcPr>
            <w:tcW w:type="pct" w:w="68%"/>
            <w:tcBorders>
              <w:top w:val="single" w:color="D1D5DB" w:sz="4"/>
              <w:left w:val="single" w:color="D1D5DB" w:sz="4"/>
              <w:bottom w:val="single" w:color="D1D5DB" w:sz="4"/>
              <w:right w:val="single" w:color="D1D5DB" w:sz="4"/>
            </w:tcBorders>
            <w:shd w:fill="9333EA" w:val="clear"/>
            <w:tcMar>
              <w:top w:type="dxa" w:w="60"/>
              <w:left w:type="dxa" w:w="100"/>
              <w:bottom w:type="dxa" w:w="60"/>
              <w:right w:type="dxa" w:w="100"/>
            </w:tcMar>
          </w:tcPr>
          <w:p>
            <w:r>
              <w:rPr>
                <w:b/>
                <w:bCs/>
                <w:color w:val="FFFFFF"/>
                <w:sz w:val="17"/>
                <w:szCs w:val="17"/>
              </w:rPr>
              <w:t xml:space="preserve">Responsibility</w:t>
            </w:r>
          </w:p>
        </w:tc>
      </w:tr>
      <w:tr>
        <w:tc>
          <w:tcPr>
            <w:tcW w:type="pct" w:w="32%"/>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Data owners</w:t>
            </w:r>
          </w:p>
        </w:tc>
        <w:tc>
          <w:tcPr>
            <w:tcW w:type="pct" w:w="6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Assign classification at creation; review at least annually; approve reclassification and external sharing.</w:t>
            </w:r>
          </w:p>
        </w:tc>
      </w:tr>
      <w:tr>
        <w:tc>
          <w:tcPr>
            <w:tcW w:type="pct" w:w="3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Data custodians (IT)</w:t>
            </w:r>
          </w:p>
        </w:tc>
        <w:tc>
          <w:tcPr>
            <w:tcW w:type="pct" w:w="6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Implement technical controls matching each level; configure DLP policies keyed to labels and patterns.</w:t>
            </w:r>
          </w:p>
        </w:tc>
      </w:tr>
      <w:tr>
        <w:tc>
          <w:tcPr>
            <w:tcW w:type="pct" w:w="32%"/>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All personnel</w:t>
            </w:r>
          </w:p>
        </w:tc>
        <w:tc>
          <w:tcPr>
            <w:tcW w:type="pct" w:w="6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Label new documents; handle data per its level; report misclassified or exposed data.</w:t>
            </w:r>
          </w:p>
        </w:tc>
      </w:tr>
      <w:tr>
        <w:tc>
          <w:tcPr>
            <w:tcW w:type="pct" w:w="3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DPO</w:t>
            </w:r>
          </w:p>
        </w:tc>
        <w:tc>
          <w:tcPr>
            <w:tcW w:type="pct" w:w="6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Maintain data inventory; audit classification compliance; align framework with PDPA obligations.</w:t>
            </w:r>
          </w:p>
        </w:tc>
      </w:tr>
    </w:tbl>
    <w:p>
      <w:pPr>
        <w:spacing w:after="160"/>
      </w:pPr>
    </w:p>
    <w:p>
      <w:pPr>
        <w:pStyle w:val="Heading1"/>
        <w:pBdr>
          <w:bottom w:val="single" w:color="9333EA" w:sz="8" w:space="4"/>
        </w:pBdr>
        <w:spacing w:after="200" w:before="360"/>
      </w:pPr>
      <w:r>
        <w:rPr>
          <w:b/>
          <w:bCs/>
          <w:color w:val="9333EA"/>
          <w:sz w:val="32"/>
          <w:szCs w:val="32"/>
        </w:rPr>
        <w:t xml:space="preserve">7. Reclassification and Declassification</w:t>
      </w:r>
    </w:p>
    <w:p>
      <w:pPr>
        <w:spacing w:after="140" w:line="276"/>
      </w:pPr>
      <w:r>
        <w:rPr>
          <w:color w:val="4B5563"/>
          <w:sz w:val="20"/>
          <w:szCs w:val="20"/>
        </w:rPr>
        <w:t xml:space="preserve">Data may change sensitivity over time (e.g. financial results become Public after publication). Reclassification requires data owner approval and an inventory update. Declassification of Restricted data additionally requires DPO approval. Review classifications during the annual data inventory refresh.</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CA3AF"/>
        <w:sz w:val="16"/>
        <w:szCs w:val="16"/>
      </w:rPr>
      <w:t xml:space="preserve">OpenDLP-LK — Data Classification Framework v1.0</w:t>
    </w:r>
    <w:r>
      <w:rPr>
        <w:sz w:val="16"/>
        <w:szCs w:val="16"/>
      </w:rPr>
      <w:t xml:space="preserve">	</w:t>
    </w:r>
    <w:r>
      <w:rPr>
        <w:color w:val="9CA3A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2026-07-15T11:32:34.273Z</dcterms:created>
  <dcterms:modified xsi:type="dcterms:W3CDTF">2026-07-15T11:32:34.273Z</dcterms:modified>
</cp:coreProperties>
</file>

<file path=docProps/custom.xml><?xml version="1.0" encoding="utf-8"?>
<Properties xmlns="http://schemas.openxmlformats.org/officeDocument/2006/custom-properties" xmlns:vt="http://schemas.openxmlformats.org/officeDocument/2006/docPropsVTypes"/>
</file>