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DB2777"/>
          <w:sz w:val="24"/>
          <w:szCs w:val="24"/>
        </w:rPr>
        <w:t xml:space="preserve">OpenDLP-LK</w:t>
      </w:r>
    </w:p>
    <w:p>
      <w:pPr>
        <w:pBdr>
          <w:bottom w:val="single" w:color="D1D5DB" w:sz="6" w:space="6"/>
        </w:pBdr>
        <w:spacing w:after="600"/>
      </w:pPr>
      <w:r>
        <w:rPr>
          <w:color w:val="4B5563"/>
          <w:sz w:val="18"/>
          <w:szCs w:val="18"/>
        </w:rPr>
        <w:t xml:space="preserve">Open-Source Data Loss Prevention for Sri Lankan Enterprises</w:t>
      </w:r>
    </w:p>
    <w:p>
      <w:pPr>
        <w:spacing w:after="200"/>
      </w:pPr>
      <w:r>
        <w:rPr>
          <w:b/>
          <w:bCs/>
          <w:color w:val="111827"/>
          <w:sz w:val="56"/>
          <w:szCs w:val="56"/>
        </w:rPr>
        <w:t xml:space="preserve">DLP Risk Assessment Framework</w:t>
      </w:r>
    </w:p>
    <w:p>
      <w:pPr>
        <w:spacing w:after="600"/>
      </w:pPr>
      <w:r>
        <w:rPr>
          <w:color w:val="4B5563"/>
          <w:sz w:val="26"/>
          <w:szCs w:val="26"/>
        </w:rPr>
        <w:t xml:space="preserve">Identify and evaluate data loss risks — with scoring worksheets and a ready-to-fill risk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Document ID</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FRM-RA-001</w:t>
            </w:r>
          </w:p>
        </w:tc>
      </w:tr>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Version</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1.0 (template)</w:t>
            </w:r>
          </w:p>
        </w:tc>
      </w:tr>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Classification</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Internal</w:t>
            </w:r>
          </w:p>
        </w:tc>
      </w:tr>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Owner</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[Data Protection Officer / IT Security Manager]</w:t>
            </w:r>
          </w:p>
        </w:tc>
      </w:tr>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Approved by</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[Name, Title]</w:t>
            </w:r>
          </w:p>
        </w:tc>
      </w:tr>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Effective date</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[DD Month YYYY]</w:t>
            </w:r>
          </w:p>
        </w:tc>
      </w:tr>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Next review</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[DD Month YYYY — review at least annually]</w:t>
            </w:r>
          </w:p>
        </w:tc>
      </w:tr>
    </w:tbl>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59E0B" w:sz="6"/>
              <w:left w:val="single" w:color="F59E0B" w:sz="18"/>
              <w:bottom w:val="single" w:color="F59E0B" w:sz="6"/>
              <w:right w:val="single" w:color="F59E0B" w:sz="6"/>
            </w:tcBorders>
            <w:shd w:fill="FFFBEB" w:val="clear"/>
            <w:tcMar>
              <w:top w:type="dxa" w:w="100"/>
              <w:left w:type="dxa" w:w="140"/>
              <w:bottom w:type="dxa" w:w="100"/>
              <w:right w:type="dxa" w:w="140"/>
            </w:tcMar>
          </w:tcPr>
          <w:p>
            <w:pPr>
              <w:spacing w:after="60"/>
            </w:pPr>
            <w:r>
              <w:rPr>
                <w:b/>
                <w:bCs/>
                <w:color w:val="92400E"/>
                <w:sz w:val="19"/>
                <w:szCs w:val="19"/>
              </w:rPr>
              <w:t xml:space="preserve">Customization required</w:t>
            </w:r>
          </w:p>
          <w:p>
            <w:r>
              <w:rPr>
                <w:color w:val="4B5563"/>
                <w:sz w:val="18"/>
                <w:szCs w:val="18"/>
              </w:rPr>
              <w:t xml:space="preserve">This template is a starting point published by the OpenDLP-LK community. Replace all bracketed placeholders, adapt the content to your organization’s size, industry and risk profile, and obtain legal review before adoption. Aligned with Sri Lanka’s Personal Data Protection Act (PDPA) No. 9 of 2022.</w:t>
            </w:r>
          </w:p>
        </w:tc>
      </w:tr>
    </w:tbl>
    <w:p>
      <w:pPr>
        <w:spacing w:after="160"/>
      </w:pPr>
    </w:p>
    <w:p>
      <w:pPr>
        <w:spacing w:before="600"/>
        <w:jc w:val="center"/>
      </w:pPr>
      <w:r>
        <w:rPr>
          <w:color w:val="9CA3AF"/>
          <w:sz w:val="16"/>
          <w:szCs w:val="16"/>
        </w:rPr>
        <w:t xml:space="preserve">https://opendlp-lk.github.io • Licensed under MIT — free to use, adapt and redistribute.</w:t>
      </w:r>
    </w:p>
    <w:p>
      <w:r>
        <w:br w:type="page"/>
      </w:r>
    </w:p>
    <w:p>
      <w:pPr>
        <w:pStyle w:val="Heading1"/>
        <w:pBdr>
          <w:bottom w:val="single" w:color="DB2777" w:sz="8" w:space="4"/>
        </w:pBdr>
        <w:spacing w:after="200" w:before="360"/>
      </w:pPr>
      <w:r>
        <w:rPr>
          <w:b/>
          <w:bCs/>
          <w:color w:val="DB2777"/>
          <w:sz w:val="32"/>
          <w:szCs w:val="32"/>
        </w:rPr>
        <w:t xml:space="preserve">1. Purpose and Method</w:t>
      </w:r>
    </w:p>
    <w:p>
      <w:pPr>
        <w:spacing w:after="140" w:line="276"/>
      </w:pPr>
      <w:r>
        <w:rPr>
          <w:color w:val="4B5563"/>
          <w:sz w:val="20"/>
          <w:szCs w:val="20"/>
        </w:rPr>
        <w:t xml:space="preserve">This framework guides [Organization Name] through a structured DLP risk assessment: identify data assets, enumerate threats, assess vulnerabilities, score risks on an impact × probability matrix, and select treatments. Repeat the assessment at least annually and after major changes (new systems, new data types, organizational restructuring, regulatory change).</w:t>
      </w:r>
    </w:p>
    <w:p>
      <w:pPr>
        <w:pStyle w:val="Heading1"/>
        <w:pBdr>
          <w:bottom w:val="single" w:color="DB2777" w:sz="8" w:space="4"/>
        </w:pBdr>
        <w:spacing w:after="200" w:before="360"/>
      </w:pPr>
      <w:r>
        <w:rPr>
          <w:b/>
          <w:bCs/>
          <w:color w:val="DB2777"/>
          <w:sz w:val="32"/>
          <w:szCs w:val="32"/>
        </w:rPr>
        <w:t xml:space="preserve">2. Step 1 — Asset Identification</w:t>
      </w:r>
    </w:p>
    <w:p>
      <w:pPr>
        <w:spacing w:after="140" w:line="276"/>
      </w:pPr>
      <w:r>
        <w:rPr>
          <w:color w:val="4B5563"/>
          <w:sz w:val="20"/>
          <w:szCs w:val="20"/>
        </w:rPr>
        <w:t xml:space="preserve">List every location where sensitive data lives. Use the inventory worksheet below (add rows as needed).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1%"/>
            <w:tcBorders>
              <w:top w:val="single" w:color="D1D5DB" w:sz="4"/>
              <w:left w:val="single" w:color="D1D5DB" w:sz="4"/>
              <w:bottom w:val="single" w:color="D1D5DB" w:sz="4"/>
              <w:right w:val="single" w:color="D1D5DB" w:sz="4"/>
            </w:tcBorders>
            <w:shd w:fill="DB2777" w:val="clear"/>
            <w:tcMar>
              <w:top w:type="dxa" w:w="60"/>
              <w:left w:type="dxa" w:w="100"/>
              <w:bottom w:type="dxa" w:w="60"/>
              <w:right w:type="dxa" w:w="100"/>
            </w:tcMar>
          </w:tcPr>
          <w:p>
            <w:r>
              <w:rPr>
                <w:b/>
                <w:bCs/>
                <w:color w:val="FFFFFF"/>
                <w:sz w:val="17"/>
                <w:szCs w:val="17"/>
              </w:rPr>
              <w:t xml:space="preserve">Asset ID</w:t>
            </w:r>
          </w:p>
        </w:tc>
        <w:tc>
          <w:tcPr>
            <w:tcW w:type="pct" w:w="20%"/>
            <w:tcBorders>
              <w:top w:val="single" w:color="D1D5DB" w:sz="4"/>
              <w:left w:val="single" w:color="D1D5DB" w:sz="4"/>
              <w:bottom w:val="single" w:color="D1D5DB" w:sz="4"/>
              <w:right w:val="single" w:color="D1D5DB" w:sz="4"/>
            </w:tcBorders>
            <w:shd w:fill="DB2777" w:val="clear"/>
            <w:tcMar>
              <w:top w:type="dxa" w:w="60"/>
              <w:left w:type="dxa" w:w="100"/>
              <w:bottom w:type="dxa" w:w="60"/>
              <w:right w:type="dxa" w:w="100"/>
            </w:tcMar>
          </w:tcPr>
          <w:p>
            <w:r>
              <w:rPr>
                <w:b/>
                <w:bCs/>
                <w:color w:val="FFFFFF"/>
                <w:sz w:val="17"/>
                <w:szCs w:val="17"/>
              </w:rPr>
              <w:t xml:space="preserve">Asset / system</w:t>
            </w:r>
          </w:p>
        </w:tc>
        <w:tc>
          <w:tcPr>
            <w:tcW w:type="pct" w:w="23%"/>
            <w:tcBorders>
              <w:top w:val="single" w:color="D1D5DB" w:sz="4"/>
              <w:left w:val="single" w:color="D1D5DB" w:sz="4"/>
              <w:bottom w:val="single" w:color="D1D5DB" w:sz="4"/>
              <w:right w:val="single" w:color="D1D5DB" w:sz="4"/>
            </w:tcBorders>
            <w:shd w:fill="DB2777" w:val="clear"/>
            <w:tcMar>
              <w:top w:type="dxa" w:w="60"/>
              <w:left w:type="dxa" w:w="100"/>
              <w:bottom w:type="dxa" w:w="60"/>
              <w:right w:type="dxa" w:w="100"/>
            </w:tcMar>
          </w:tcPr>
          <w:p>
            <w:r>
              <w:rPr>
                <w:b/>
                <w:bCs/>
                <w:color w:val="FFFFFF"/>
                <w:sz w:val="17"/>
                <w:szCs w:val="17"/>
              </w:rPr>
              <w:t xml:space="preserve">Data types held</w:t>
            </w:r>
          </w:p>
        </w:tc>
        <w:tc>
          <w:tcPr>
            <w:tcW w:type="pct" w:w="16%"/>
            <w:tcBorders>
              <w:top w:val="single" w:color="D1D5DB" w:sz="4"/>
              <w:left w:val="single" w:color="D1D5DB" w:sz="4"/>
              <w:bottom w:val="single" w:color="D1D5DB" w:sz="4"/>
              <w:right w:val="single" w:color="D1D5DB" w:sz="4"/>
            </w:tcBorders>
            <w:shd w:fill="DB2777" w:val="clear"/>
            <w:tcMar>
              <w:top w:type="dxa" w:w="60"/>
              <w:left w:type="dxa" w:w="100"/>
              <w:bottom w:type="dxa" w:w="60"/>
              <w:right w:type="dxa" w:w="100"/>
            </w:tcMar>
          </w:tcPr>
          <w:p>
            <w:r>
              <w:rPr>
                <w:b/>
                <w:bCs/>
                <w:color w:val="FFFFFF"/>
                <w:sz w:val="17"/>
                <w:szCs w:val="17"/>
              </w:rPr>
              <w:t xml:space="preserve">Classification</w:t>
            </w:r>
          </w:p>
        </w:tc>
        <w:tc>
          <w:tcPr>
            <w:tcW w:type="pct" w:w="14%"/>
            <w:tcBorders>
              <w:top w:val="single" w:color="D1D5DB" w:sz="4"/>
              <w:left w:val="single" w:color="D1D5DB" w:sz="4"/>
              <w:bottom w:val="single" w:color="D1D5DB" w:sz="4"/>
              <w:right w:val="single" w:color="D1D5DB" w:sz="4"/>
            </w:tcBorders>
            <w:shd w:fill="DB2777" w:val="clear"/>
            <w:tcMar>
              <w:top w:type="dxa" w:w="60"/>
              <w:left w:type="dxa" w:w="100"/>
              <w:bottom w:type="dxa" w:w="60"/>
              <w:right w:type="dxa" w:w="100"/>
            </w:tcMar>
          </w:tcPr>
          <w:p>
            <w:r>
              <w:rPr>
                <w:b/>
                <w:bCs/>
                <w:color w:val="FFFFFF"/>
                <w:sz w:val="17"/>
                <w:szCs w:val="17"/>
              </w:rPr>
              <w:t xml:space="preserve">Owner</w:t>
            </w:r>
          </w:p>
        </w:tc>
        <w:tc>
          <w:tcPr>
            <w:tcW w:type="pct" w:w="16%"/>
            <w:tcBorders>
              <w:top w:val="single" w:color="D1D5DB" w:sz="4"/>
              <w:left w:val="single" w:color="D1D5DB" w:sz="4"/>
              <w:bottom w:val="single" w:color="D1D5DB" w:sz="4"/>
              <w:right w:val="single" w:color="D1D5DB" w:sz="4"/>
            </w:tcBorders>
            <w:shd w:fill="DB2777" w:val="clear"/>
            <w:tcMar>
              <w:top w:type="dxa" w:w="60"/>
              <w:left w:type="dxa" w:w="100"/>
              <w:bottom w:type="dxa" w:w="60"/>
              <w:right w:type="dxa" w:w="100"/>
            </w:tcMar>
          </w:tcPr>
          <w:p>
            <w:r>
              <w:rPr>
                <w:b/>
                <w:bCs/>
                <w:color w:val="FFFFFF"/>
                <w:sz w:val="17"/>
                <w:szCs w:val="17"/>
              </w:rPr>
              <w:t xml:space="preserve">Location</w:t>
            </w:r>
          </w:p>
        </w:tc>
      </w:tr>
      <w:tr>
        <w:tc>
          <w:tcPr>
            <w:tcW w:type="pct" w:w="11%"/>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A-01</w:t>
            </w:r>
          </w:p>
        </w:tc>
        <w:tc>
          <w:tcPr>
            <w:tcW w:type="pct" w:w="2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[HR database]</w:t>
            </w:r>
          </w:p>
        </w:tc>
        <w:tc>
          <w:tcPr>
            <w:tcW w:type="pct" w:w="23%"/>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[Employee records, NIC, salaries]</w:t>
            </w:r>
          </w:p>
        </w:tc>
        <w:tc>
          <w:tcPr>
            <w:tcW w:type="pct" w:w="1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[Restricted]</w:t>
            </w:r>
          </w:p>
        </w:tc>
        <w:tc>
          <w:tcPr>
            <w:tcW w:type="pct" w:w="14%"/>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[HR Head]</w:t>
            </w:r>
          </w:p>
        </w:tc>
        <w:tc>
          <w:tcPr>
            <w:tcW w:type="pct" w:w="1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[On-prem server]</w:t>
            </w:r>
          </w:p>
        </w:tc>
      </w:tr>
      <w:tr>
        <w:tc>
          <w:tcPr>
            <w:tcW w:type="pct" w:w="11%"/>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A-02</w:t>
            </w:r>
          </w:p>
        </w:tc>
        <w:tc>
          <w:tcPr>
            <w:tcW w:type="pct" w:w="2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[CRM / customer DB]</w:t>
            </w:r>
          </w:p>
        </w:tc>
        <w:tc>
          <w:tcPr>
            <w:tcW w:type="pct" w:w="23%"/>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[Names, phones, NIC]</w:t>
            </w:r>
          </w:p>
        </w:tc>
        <w:tc>
          <w:tcPr>
            <w:tcW w:type="pct" w:w="1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[Restricted]</w:t>
            </w:r>
          </w:p>
        </w:tc>
        <w:tc>
          <w:tcPr>
            <w:tcW w:type="pct" w:w="1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[Sales Head]</w:t>
            </w:r>
          </w:p>
        </w:tc>
        <w:tc>
          <w:tcPr>
            <w:tcW w:type="pct" w:w="1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[Cloud SaaS]</w:t>
            </w:r>
          </w:p>
        </w:tc>
      </w:tr>
      <w:tr>
        <w:tc>
          <w:tcPr>
            <w:tcW w:type="pct" w:w="11%"/>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A-03</w:t>
            </w:r>
          </w:p>
        </w:tc>
        <w:tc>
          <w:tcPr>
            <w:tcW w:type="pct" w:w="2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[File server]</w:t>
            </w:r>
          </w:p>
        </w:tc>
        <w:tc>
          <w:tcPr>
            <w:tcW w:type="pct" w:w="23%"/>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[Contracts, financials]</w:t>
            </w:r>
          </w:p>
        </w:tc>
        <w:tc>
          <w:tcPr>
            <w:tcW w:type="pct" w:w="1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[Confidential]</w:t>
            </w:r>
          </w:p>
        </w:tc>
        <w:tc>
          <w:tcPr>
            <w:tcW w:type="pct" w:w="14%"/>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[Finance]</w:t>
            </w:r>
          </w:p>
        </w:tc>
        <w:tc>
          <w:tcPr>
            <w:tcW w:type="pct" w:w="1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[On-prem]</w:t>
            </w:r>
          </w:p>
        </w:tc>
      </w:tr>
      <w:tr>
        <w:tc>
          <w:tcPr>
            <w:tcW w:type="pct" w:w="11%"/>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A-04</w:t>
            </w:r>
          </w:p>
        </w:tc>
        <w:tc>
          <w:tcPr>
            <w:tcW w:type="pct" w:w="2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[Email system]</w:t>
            </w:r>
          </w:p>
        </w:tc>
        <w:tc>
          <w:tcPr>
            <w:tcW w:type="pct" w:w="23%"/>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[Mixed]</w:t>
            </w:r>
          </w:p>
        </w:tc>
        <w:tc>
          <w:tcPr>
            <w:tcW w:type="pct" w:w="1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[Confidential]</w:t>
            </w:r>
          </w:p>
        </w:tc>
        <w:tc>
          <w:tcPr>
            <w:tcW w:type="pct" w:w="1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[IT]</w:t>
            </w:r>
          </w:p>
        </w:tc>
        <w:tc>
          <w:tcPr>
            <w:tcW w:type="pct" w:w="1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[Cloud]</w:t>
            </w:r>
          </w:p>
        </w:tc>
      </w:tr>
      <w:tr>
        <w:tc>
          <w:tcPr>
            <w:tcW w:type="pct" w:w="11%"/>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A-05</w:t>
            </w:r>
          </w:p>
        </w:tc>
        <w:tc>
          <w:tcPr>
            <w:tcW w:type="pct" w:w="2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[Laptops × N]</w:t>
            </w:r>
          </w:p>
        </w:tc>
        <w:tc>
          <w:tcPr>
            <w:tcW w:type="pct" w:w="23%"/>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[Working documents]</w:t>
            </w:r>
          </w:p>
        </w:tc>
        <w:tc>
          <w:tcPr>
            <w:tcW w:type="pct" w:w="1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[Mixed]</w:t>
            </w:r>
          </w:p>
        </w:tc>
        <w:tc>
          <w:tcPr>
            <w:tcW w:type="pct" w:w="14%"/>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[IT]</w:t>
            </w:r>
          </w:p>
        </w:tc>
        <w:tc>
          <w:tcPr>
            <w:tcW w:type="pct" w:w="1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[Endpoints]</w:t>
            </w:r>
          </w:p>
        </w:tc>
      </w:tr>
      <w:tr>
        <w:tc>
          <w:tcPr>
            <w:tcW w:type="pct" w:w="11%"/>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A-06</w:t>
            </w:r>
          </w:p>
        </w:tc>
        <w:tc>
          <w:tcPr>
            <w:tcW w:type="pct" w:w="2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[Backups / archives]</w:t>
            </w:r>
          </w:p>
        </w:tc>
        <w:tc>
          <w:tcPr>
            <w:tcW w:type="pct" w:w="23%"/>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[Full copies of above]</w:t>
            </w:r>
          </w:p>
        </w:tc>
        <w:tc>
          <w:tcPr>
            <w:tcW w:type="pct" w:w="1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[Restricted]</w:t>
            </w:r>
          </w:p>
        </w:tc>
        <w:tc>
          <w:tcPr>
            <w:tcW w:type="pct" w:w="1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[IT]</w:t>
            </w:r>
          </w:p>
        </w:tc>
        <w:tc>
          <w:tcPr>
            <w:tcW w:type="pct" w:w="1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[Offsite/cloud]</w:t>
            </w:r>
          </w:p>
        </w:tc>
      </w:tr>
      <w:tr>
        <w:tc>
          <w:tcPr>
            <w:tcW w:type="pct" w:w="11%"/>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
            </w:r>
          </w:p>
        </w:tc>
        <w:tc>
          <w:tcPr>
            <w:tcW w:type="pct" w:w="2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
            </w:r>
          </w:p>
        </w:tc>
        <w:tc>
          <w:tcPr>
            <w:tcW w:type="pct" w:w="23%"/>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
            </w:r>
          </w:p>
        </w:tc>
        <w:tc>
          <w:tcPr>
            <w:tcW w:type="pct" w:w="1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
            </w:r>
          </w:p>
        </w:tc>
        <w:tc>
          <w:tcPr>
            <w:tcW w:type="pct" w:w="14%"/>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
            </w:r>
          </w:p>
        </w:tc>
        <w:tc>
          <w:tcPr>
            <w:tcW w:type="pct" w:w="16%"/>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
            </w:r>
          </w:p>
        </w:tc>
      </w:tr>
      <w:tr>
        <w:tc>
          <w:tcPr>
            <w:tcW w:type="pct" w:w="11%"/>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c>
          <w:tcPr>
            <w:tcW w:type="pct" w:w="2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c>
          <w:tcPr>
            <w:tcW w:type="pct" w:w="23%"/>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c>
          <w:tcPr>
            <w:tcW w:type="pct" w:w="1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c>
          <w:tcPr>
            <w:tcW w:type="pct" w:w="1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c>
          <w:tcPr>
            <w:tcW w:type="pct" w:w="1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r>
    </w:tbl>
    <w:p>
      <w:pPr>
        <w:spacing w:after="160"/>
      </w:pPr>
    </w:p>
    <w:p>
      <w:pPr>
        <w:spacing w:after="140" w:line="276"/>
      </w:pPr>
      <w:r>
        <w:rPr>
          <w:color w:val="4B5563"/>
          <w:sz w:val="20"/>
          <w:szCs w:val="20"/>
        </w:rPr>
        <w:t xml:space="preserve">Checklist of locations commonly missed: cloud storage and SaaS applications, collaboration tools (Teams/Slack/Drive), email archives, mobile devices, backup and archive systems, test/development environments, third-party processors, printed records.</w:t>
      </w:r>
    </w:p>
    <w:p>
      <w:pPr>
        <w:pStyle w:val="Heading1"/>
        <w:pBdr>
          <w:bottom w:val="single" w:color="DB2777" w:sz="8" w:space="4"/>
        </w:pBdr>
        <w:spacing w:after="200" w:before="360"/>
      </w:pPr>
      <w:r>
        <w:rPr>
          <w:b/>
          <w:bCs/>
          <w:color w:val="DB2777"/>
          <w:sz w:val="32"/>
          <w:szCs w:val="32"/>
        </w:rPr>
        <w:t xml:space="preserve">3. Step 2 — Threat Identification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3%"/>
            <w:tcBorders>
              <w:top w:val="single" w:color="D1D5DB" w:sz="4"/>
              <w:left w:val="single" w:color="D1D5DB" w:sz="4"/>
              <w:bottom w:val="single" w:color="D1D5DB" w:sz="4"/>
              <w:right w:val="single" w:color="D1D5DB" w:sz="4"/>
            </w:tcBorders>
            <w:shd w:fill="DB2777" w:val="clear"/>
            <w:tcMar>
              <w:top w:type="dxa" w:w="60"/>
              <w:left w:type="dxa" w:w="100"/>
              <w:bottom w:type="dxa" w:w="60"/>
              <w:right w:type="dxa" w:w="100"/>
            </w:tcMar>
          </w:tcPr>
          <w:p>
            <w:r>
              <w:rPr>
                <w:b/>
                <w:bCs/>
                <w:color w:val="FFFFFF"/>
                <w:sz w:val="17"/>
                <w:szCs w:val="17"/>
              </w:rPr>
              <w:t xml:space="preserve">Threat ID</w:t>
            </w:r>
          </w:p>
        </w:tc>
        <w:tc>
          <w:tcPr>
            <w:tcW w:type="pct" w:w="25%"/>
            <w:tcBorders>
              <w:top w:val="single" w:color="D1D5DB" w:sz="4"/>
              <w:left w:val="single" w:color="D1D5DB" w:sz="4"/>
              <w:bottom w:val="single" w:color="D1D5DB" w:sz="4"/>
              <w:right w:val="single" w:color="D1D5DB" w:sz="4"/>
            </w:tcBorders>
            <w:shd w:fill="DB2777" w:val="clear"/>
            <w:tcMar>
              <w:top w:type="dxa" w:w="60"/>
              <w:left w:type="dxa" w:w="100"/>
              <w:bottom w:type="dxa" w:w="60"/>
              <w:right w:type="dxa" w:w="100"/>
            </w:tcMar>
          </w:tcPr>
          <w:p>
            <w:r>
              <w:rPr>
                <w:b/>
                <w:bCs/>
                <w:color w:val="FFFFFF"/>
                <w:sz w:val="17"/>
                <w:szCs w:val="17"/>
              </w:rPr>
              <w:t xml:space="preserve">Threat</w:t>
            </w:r>
          </w:p>
        </w:tc>
        <w:tc>
          <w:tcPr>
            <w:tcW w:type="pct" w:w="27%"/>
            <w:tcBorders>
              <w:top w:val="single" w:color="D1D5DB" w:sz="4"/>
              <w:left w:val="single" w:color="D1D5DB" w:sz="4"/>
              <w:bottom w:val="single" w:color="D1D5DB" w:sz="4"/>
              <w:right w:val="single" w:color="D1D5DB" w:sz="4"/>
            </w:tcBorders>
            <w:shd w:fill="DB2777" w:val="clear"/>
            <w:tcMar>
              <w:top w:type="dxa" w:w="60"/>
              <w:left w:type="dxa" w:w="100"/>
              <w:bottom w:type="dxa" w:w="60"/>
              <w:right w:type="dxa" w:w="100"/>
            </w:tcMar>
          </w:tcPr>
          <w:p>
            <w:r>
              <w:rPr>
                <w:b/>
                <w:bCs/>
                <w:color w:val="FFFFFF"/>
                <w:sz w:val="17"/>
                <w:szCs w:val="17"/>
              </w:rPr>
              <w:t xml:space="preserve">Typical channel</w:t>
            </w:r>
          </w:p>
        </w:tc>
        <w:tc>
          <w:tcPr>
            <w:tcW w:type="pct" w:w="35%"/>
            <w:tcBorders>
              <w:top w:val="single" w:color="D1D5DB" w:sz="4"/>
              <w:left w:val="single" w:color="D1D5DB" w:sz="4"/>
              <w:bottom w:val="single" w:color="D1D5DB" w:sz="4"/>
              <w:right w:val="single" w:color="D1D5DB" w:sz="4"/>
            </w:tcBorders>
            <w:shd w:fill="DB2777" w:val="clear"/>
            <w:tcMar>
              <w:top w:type="dxa" w:w="60"/>
              <w:left w:type="dxa" w:w="100"/>
              <w:bottom w:type="dxa" w:w="60"/>
              <w:right w:type="dxa" w:w="100"/>
            </w:tcMar>
          </w:tcPr>
          <w:p>
            <w:r>
              <w:rPr>
                <w:b/>
                <w:bCs/>
                <w:color w:val="FFFFFF"/>
                <w:sz w:val="17"/>
                <w:szCs w:val="17"/>
              </w:rPr>
              <w:t xml:space="preserve">Example</w:t>
            </w:r>
          </w:p>
        </w:tc>
      </w:tr>
      <w:tr>
        <w:tc>
          <w:tcPr>
            <w:tcW w:type="pct" w:w="13%"/>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T-01</w:t>
            </w:r>
          </w:p>
        </w:tc>
        <w:tc>
          <w:tcPr>
            <w:tcW w:type="pct" w:w="25%"/>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Insider — accidental</w:t>
            </w:r>
          </w:p>
        </w:tc>
        <w:tc>
          <w:tcPr>
            <w:tcW w:type="pct" w:w="27%"/>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Email misdirection, wrong cloud share</w:t>
            </w:r>
          </w:p>
        </w:tc>
        <w:tc>
          <w:tcPr>
            <w:tcW w:type="pct" w:w="35%"/>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Payroll file emailed to wrong supplier</w:t>
            </w:r>
          </w:p>
        </w:tc>
      </w:tr>
      <w:tr>
        <w:tc>
          <w:tcPr>
            <w:tcW w:type="pct" w:w="13%"/>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T-02</w:t>
            </w:r>
          </w:p>
        </w:tc>
        <w:tc>
          <w:tcPr>
            <w:tcW w:type="pct" w:w="25%"/>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Insider — malicious</w:t>
            </w:r>
          </w:p>
        </w:tc>
        <w:tc>
          <w:tcPr>
            <w:tcW w:type="pct" w:w="27%"/>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USB, personal cloud, printing</w:t>
            </w:r>
          </w:p>
        </w:tc>
        <w:tc>
          <w:tcPr>
            <w:tcW w:type="pct" w:w="35%"/>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Departing employee exfiltrates customer list</w:t>
            </w:r>
          </w:p>
        </w:tc>
      </w:tr>
      <w:tr>
        <w:tc>
          <w:tcPr>
            <w:tcW w:type="pct" w:w="13%"/>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T-03</w:t>
            </w:r>
          </w:p>
        </w:tc>
        <w:tc>
          <w:tcPr>
            <w:tcW w:type="pct" w:w="25%"/>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External cyberattack</w:t>
            </w:r>
          </w:p>
        </w:tc>
        <w:tc>
          <w:tcPr>
            <w:tcW w:type="pct" w:w="27%"/>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Phishing, malware, exploited services</w:t>
            </w:r>
          </w:p>
        </w:tc>
        <w:tc>
          <w:tcPr>
            <w:tcW w:type="pct" w:w="35%"/>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Credential phishing leading to mailbox exfiltration</w:t>
            </w:r>
          </w:p>
        </w:tc>
      </w:tr>
      <w:tr>
        <w:tc>
          <w:tcPr>
            <w:tcW w:type="pct" w:w="13%"/>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T-04</w:t>
            </w:r>
          </w:p>
        </w:tc>
        <w:tc>
          <w:tcPr>
            <w:tcW w:type="pct" w:w="25%"/>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Lost or stolen device</w:t>
            </w:r>
          </w:p>
        </w:tc>
        <w:tc>
          <w:tcPr>
            <w:tcW w:type="pct" w:w="27%"/>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Laptop, phone, USB</w:t>
            </w:r>
          </w:p>
        </w:tc>
        <w:tc>
          <w:tcPr>
            <w:tcW w:type="pct" w:w="35%"/>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Unencrypted laptop stolen from vehicle</w:t>
            </w:r>
          </w:p>
        </w:tc>
      </w:tr>
      <w:tr>
        <w:tc>
          <w:tcPr>
            <w:tcW w:type="pct" w:w="13%"/>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T-05</w:t>
            </w:r>
          </w:p>
        </w:tc>
        <w:tc>
          <w:tcPr>
            <w:tcW w:type="pct" w:w="25%"/>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Unauthorized cloud upload</w:t>
            </w:r>
          </w:p>
        </w:tc>
        <w:tc>
          <w:tcPr>
            <w:tcW w:type="pct" w:w="27%"/>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Shadow IT SaaS</w:t>
            </w:r>
          </w:p>
        </w:tc>
        <w:tc>
          <w:tcPr>
            <w:tcW w:type="pct" w:w="35%"/>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Staff use personal Drive for work files</w:t>
            </w:r>
          </w:p>
        </w:tc>
      </w:tr>
      <w:tr>
        <w:tc>
          <w:tcPr>
            <w:tcW w:type="pct" w:w="13%"/>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T-06</w:t>
            </w:r>
          </w:p>
        </w:tc>
        <w:tc>
          <w:tcPr>
            <w:tcW w:type="pct" w:w="25%"/>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Third-party breach</w:t>
            </w:r>
          </w:p>
        </w:tc>
        <w:tc>
          <w:tcPr>
            <w:tcW w:type="pct" w:w="27%"/>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Vendor systems</w:t>
            </w:r>
          </w:p>
        </w:tc>
        <w:tc>
          <w:tcPr>
            <w:tcW w:type="pct" w:w="35%"/>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Processor holding customer data is breached</w:t>
            </w:r>
          </w:p>
        </w:tc>
      </w:tr>
      <w:tr>
        <w:tc>
          <w:tcPr>
            <w:tcW w:type="pct" w:w="13%"/>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T-07</w:t>
            </w:r>
          </w:p>
        </w:tc>
        <w:tc>
          <w:tcPr>
            <w:tcW w:type="pct" w:w="25%"/>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Improper disposal</w:t>
            </w:r>
          </w:p>
        </w:tc>
        <w:tc>
          <w:tcPr>
            <w:tcW w:type="pct" w:w="27%"/>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Paper, decommissioned drives</w:t>
            </w:r>
          </w:p>
        </w:tc>
        <w:tc>
          <w:tcPr>
            <w:tcW w:type="pct" w:w="35%"/>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Un-shredded records; unwiped disks resold</w:t>
            </w:r>
          </w:p>
        </w:tc>
      </w:tr>
    </w:tbl>
    <w:p>
      <w:pPr>
        <w:spacing w:after="160"/>
      </w:pPr>
    </w:p>
    <w:p>
      <w:pPr>
        <w:pStyle w:val="Heading1"/>
        <w:pBdr>
          <w:bottom w:val="single" w:color="DB2777" w:sz="8" w:space="4"/>
        </w:pBdr>
        <w:spacing w:after="200" w:before="360"/>
      </w:pPr>
      <w:r>
        <w:rPr>
          <w:b/>
          <w:bCs/>
          <w:color w:val="DB2777"/>
          <w:sz w:val="32"/>
          <w:szCs w:val="32"/>
        </w:rPr>
        <w:t xml:space="preserve">4. Step 3 — Vulnerability Assessment</w:t>
      </w:r>
    </w:p>
    <w:p>
      <w:pPr>
        <w:spacing w:after="140" w:line="276"/>
      </w:pPr>
      <w:r>
        <w:rPr>
          <w:color w:val="4B5563"/>
          <w:sz w:val="20"/>
          <w:szCs w:val="20"/>
        </w:rPr>
        <w:t xml:space="preserve">For each asset–threat pair, evaluate the current controls. Mark each area Adequate / Partial / Missing:</w:t>
      </w:r>
    </w:p>
    <w:p>
      <w:pPr>
        <w:spacing w:after="80" w:line="260"/>
        <w:ind w:left="240"/>
      </w:pPr>
      <w:r>
        <w:rPr>
          <w:color w:val="4B5563"/>
          <w:sz w:val="22"/>
          <w:szCs w:val="22"/>
        </w:rPr>
        <w:t xml:space="preserve">☐  </w:t>
      </w:r>
      <w:r>
        <w:rPr>
          <w:color w:val="4B5563"/>
          <w:sz w:val="20"/>
          <w:szCs w:val="20"/>
        </w:rPr>
        <w:t xml:space="preserve">Encryption — data at rest encrypted on servers, endpoints, backups; TLS enforced in transit.</w:t>
      </w:r>
    </w:p>
    <w:p>
      <w:pPr>
        <w:spacing w:after="80" w:line="260"/>
        <w:ind w:left="240"/>
      </w:pPr>
      <w:r>
        <w:rPr>
          <w:color w:val="4B5563"/>
          <w:sz w:val="22"/>
          <w:szCs w:val="22"/>
        </w:rPr>
        <w:t xml:space="preserve">☐  </w:t>
      </w:r>
      <w:r>
        <w:rPr>
          <w:color w:val="4B5563"/>
          <w:sz w:val="20"/>
          <w:szCs w:val="20"/>
        </w:rPr>
        <w:t xml:space="preserve">Access control — RBAC in place; MFA on sensitive systems; quarterly entitlement reviews.</w:t>
      </w:r>
    </w:p>
    <w:p>
      <w:pPr>
        <w:spacing w:after="80" w:line="260"/>
        <w:ind w:left="240"/>
      </w:pPr>
      <w:r>
        <w:rPr>
          <w:color w:val="4B5563"/>
          <w:sz w:val="22"/>
          <w:szCs w:val="22"/>
        </w:rPr>
        <w:t xml:space="preserve">☐  </w:t>
      </w:r>
      <w:r>
        <w:rPr>
          <w:color w:val="4B5563"/>
          <w:sz w:val="20"/>
          <w:szCs w:val="20"/>
        </w:rPr>
        <w:t xml:space="preserve">Monitoring — DLP agents deployed; egress channels (email, web, USB, cloud) inspected; alerts triaged.</w:t>
      </w:r>
    </w:p>
    <w:p>
      <w:pPr>
        <w:spacing w:after="80" w:line="260"/>
        <w:ind w:left="240"/>
      </w:pPr>
      <w:r>
        <w:rPr>
          <w:color w:val="4B5563"/>
          <w:sz w:val="22"/>
          <w:szCs w:val="22"/>
        </w:rPr>
        <w:t xml:space="preserve">☐  </w:t>
      </w:r>
      <w:r>
        <w:rPr>
          <w:color w:val="4B5563"/>
          <w:sz w:val="20"/>
          <w:szCs w:val="20"/>
        </w:rPr>
        <w:t xml:space="preserve">Training — onboarding and annual refresher completion above [90%]; phishing simulation results acceptable.</w:t>
      </w:r>
    </w:p>
    <w:p>
      <w:pPr>
        <w:spacing w:after="80" w:line="260"/>
        <w:ind w:left="240"/>
      </w:pPr>
      <w:r>
        <w:rPr>
          <w:color w:val="4B5563"/>
          <w:sz w:val="22"/>
          <w:szCs w:val="22"/>
        </w:rPr>
        <w:t xml:space="preserve">☐  </w:t>
      </w:r>
      <w:r>
        <w:rPr>
          <w:color w:val="4B5563"/>
          <w:sz w:val="20"/>
          <w:szCs w:val="20"/>
        </w:rPr>
        <w:t xml:space="preserve">Device management — MDM coverage complete; unmanaged devices blocked from corporate data.</w:t>
      </w:r>
    </w:p>
    <w:p>
      <w:pPr>
        <w:spacing w:after="80" w:line="260"/>
        <w:ind w:left="240"/>
      </w:pPr>
      <w:r>
        <w:rPr>
          <w:color w:val="4B5563"/>
          <w:sz w:val="22"/>
          <w:szCs w:val="22"/>
        </w:rPr>
        <w:t xml:space="preserve">☐  </w:t>
      </w:r>
      <w:r>
        <w:rPr>
          <w:color w:val="4B5563"/>
          <w:sz w:val="20"/>
          <w:szCs w:val="20"/>
        </w:rPr>
        <w:t xml:space="preserve">Third parties — data processing agreements signed; vendor security assessed; breach clauses present.</w:t>
      </w:r>
    </w:p>
    <w:p>
      <w:pPr>
        <w:spacing w:after="80" w:line="260"/>
        <w:ind w:left="240"/>
      </w:pPr>
      <w:r>
        <w:rPr>
          <w:color w:val="4B5563"/>
          <w:sz w:val="22"/>
          <w:szCs w:val="22"/>
        </w:rPr>
        <w:t xml:space="preserve">☐  </w:t>
      </w:r>
      <w:r>
        <w:rPr>
          <w:color w:val="4B5563"/>
          <w:sz w:val="20"/>
          <w:szCs w:val="20"/>
        </w:rPr>
        <w:t xml:space="preserve">Disposal — shredding and certified media destruction procedures in use.</w:t>
      </w:r>
    </w:p>
    <w:p>
      <w:pPr>
        <w:spacing w:after="60"/>
      </w:pPr>
    </w:p>
    <w:p>
      <w:pPr>
        <w:pStyle w:val="Heading1"/>
        <w:pBdr>
          <w:bottom w:val="single" w:color="DB2777" w:sz="8" w:space="4"/>
        </w:pBdr>
        <w:spacing w:after="200" w:before="360"/>
      </w:pPr>
      <w:r>
        <w:rPr>
          <w:b/>
          <w:bCs/>
          <w:color w:val="DB2777"/>
          <w:sz w:val="32"/>
          <w:szCs w:val="32"/>
        </w:rPr>
        <w:t xml:space="preserve">5. Step 4 — Risk Evaluation</w:t>
      </w:r>
    </w:p>
    <w:p>
      <w:pPr>
        <w:pStyle w:val="Heading2"/>
        <w:spacing w:after="120" w:before="240"/>
      </w:pPr>
      <w:r>
        <w:rPr>
          <w:b/>
          <w:bCs/>
          <w:color w:val="111827"/>
          <w:sz w:val="25"/>
          <w:szCs w:val="25"/>
        </w:rPr>
        <w:t xml:space="preserve">Scoring scales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7%"/>
            <w:tcBorders>
              <w:top w:val="single" w:color="D1D5DB" w:sz="4"/>
              <w:left w:val="single" w:color="D1D5DB" w:sz="4"/>
              <w:bottom w:val="single" w:color="D1D5DB" w:sz="4"/>
              <w:right w:val="single" w:color="D1D5DB" w:sz="4"/>
            </w:tcBorders>
            <w:shd w:fill="DB2777" w:val="clear"/>
            <w:tcMar>
              <w:top w:type="dxa" w:w="60"/>
              <w:left w:type="dxa" w:w="100"/>
              <w:bottom w:type="dxa" w:w="60"/>
              <w:right w:type="dxa" w:w="100"/>
            </w:tcMar>
          </w:tcPr>
          <w:p>
            <w:r>
              <w:rPr>
                <w:b/>
                <w:bCs/>
                <w:color w:val="FFFFFF"/>
                <w:sz w:val="17"/>
                <w:szCs w:val="17"/>
              </w:rPr>
              <w:t xml:space="preserve">Score</w:t>
            </w:r>
          </w:p>
        </w:tc>
        <w:tc>
          <w:tcPr>
            <w:tcW w:type="pct" w:w="33%"/>
            <w:tcBorders>
              <w:top w:val="single" w:color="D1D5DB" w:sz="4"/>
              <w:left w:val="single" w:color="D1D5DB" w:sz="4"/>
              <w:bottom w:val="single" w:color="D1D5DB" w:sz="4"/>
              <w:right w:val="single" w:color="D1D5DB" w:sz="4"/>
            </w:tcBorders>
            <w:shd w:fill="DB2777" w:val="clear"/>
            <w:tcMar>
              <w:top w:type="dxa" w:w="60"/>
              <w:left w:type="dxa" w:w="100"/>
              <w:bottom w:type="dxa" w:w="60"/>
              <w:right w:type="dxa" w:w="100"/>
            </w:tcMar>
          </w:tcPr>
          <w:p>
            <w:r>
              <w:rPr>
                <w:b/>
                <w:bCs/>
                <w:color w:val="FFFFFF"/>
                <w:sz w:val="17"/>
                <w:szCs w:val="17"/>
              </w:rPr>
              <w:t xml:space="preserve">Probability</w:t>
            </w:r>
          </w:p>
        </w:tc>
        <w:tc>
          <w:tcPr>
            <w:tcW w:type="pct" w:w="50%"/>
            <w:tcBorders>
              <w:top w:val="single" w:color="D1D5DB" w:sz="4"/>
              <w:left w:val="single" w:color="D1D5DB" w:sz="4"/>
              <w:bottom w:val="single" w:color="D1D5DB" w:sz="4"/>
              <w:right w:val="single" w:color="D1D5DB" w:sz="4"/>
            </w:tcBorders>
            <w:shd w:fill="DB2777" w:val="clear"/>
            <w:tcMar>
              <w:top w:type="dxa" w:w="60"/>
              <w:left w:type="dxa" w:w="100"/>
              <w:bottom w:type="dxa" w:w="60"/>
              <w:right w:type="dxa" w:w="100"/>
            </w:tcMar>
          </w:tcPr>
          <w:p>
            <w:r>
              <w:rPr>
                <w:b/>
                <w:bCs/>
                <w:color w:val="FFFFFF"/>
                <w:sz w:val="17"/>
                <w:szCs w:val="17"/>
              </w:rPr>
              <w:t xml:space="preserve">Impact</w:t>
            </w:r>
          </w:p>
        </w:tc>
      </w:tr>
      <w:tr>
        <w:tc>
          <w:tcPr>
            <w:tcW w:type="pct" w:w="17%"/>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1 — Low</w:t>
            </w:r>
          </w:p>
        </w:tc>
        <w:tc>
          <w:tcPr>
            <w:tcW w:type="pct" w:w="33%"/>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Unlikely within 3 years</w:t>
            </w:r>
          </w:p>
        </w:tc>
        <w:tc>
          <w:tcPr>
            <w:tcW w:type="pct" w:w="5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Minor: contained internally, negligible harm</w:t>
            </w:r>
          </w:p>
        </w:tc>
      </w:tr>
      <w:tr>
        <w:tc>
          <w:tcPr>
            <w:tcW w:type="pct" w:w="17%"/>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2 — Medium</w:t>
            </w:r>
          </w:p>
        </w:tc>
        <w:tc>
          <w:tcPr>
            <w:tcW w:type="pct" w:w="33%"/>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Could occur within 1–3 years</w:t>
            </w:r>
          </w:p>
        </w:tc>
        <w:tc>
          <w:tcPr>
            <w:tcW w:type="pct" w:w="5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Serious: regulatory interest, harm to some data subjects, contract exposure</w:t>
            </w:r>
          </w:p>
        </w:tc>
      </w:tr>
      <w:tr>
        <w:tc>
          <w:tcPr>
            <w:tcW w:type="pct" w:w="17%"/>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3 — High</w:t>
            </w:r>
          </w:p>
        </w:tc>
        <w:tc>
          <w:tcPr>
            <w:tcW w:type="pct" w:w="33%"/>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Likely within 12 months / has happened before</w:t>
            </w:r>
          </w:p>
        </w:tc>
        <w:tc>
          <w:tcPr>
            <w:tcW w:type="pct" w:w="5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Severe: notifiable breach, large-scale harm, penalties, major reputational damage</w:t>
            </w:r>
          </w:p>
        </w:tc>
      </w:tr>
    </w:tbl>
    <w:p>
      <w:pPr>
        <w:spacing w:after="160"/>
      </w:pPr>
    </w:p>
    <w:p>
      <w:pPr>
        <w:pStyle w:val="Heading2"/>
        <w:spacing w:after="120" w:before="240"/>
      </w:pPr>
      <w:r>
        <w:rPr>
          <w:b/>
          <w:bCs/>
          <w:color w:val="111827"/>
          <w:sz w:val="25"/>
          <w:szCs w:val="25"/>
        </w:rPr>
        <w:t xml:space="preserve">Risk matrix (Impact × Probability)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38%"/>
            <w:tcBorders>
              <w:top w:val="single" w:color="D1D5DB" w:sz="4"/>
              <w:left w:val="single" w:color="D1D5DB" w:sz="4"/>
              <w:bottom w:val="single" w:color="D1D5DB" w:sz="4"/>
              <w:right w:val="single" w:color="D1D5DB" w:sz="4"/>
            </w:tcBorders>
            <w:shd w:fill="DB2777" w:val="clear"/>
            <w:tcMar>
              <w:top w:type="dxa" w:w="60"/>
              <w:left w:type="dxa" w:w="100"/>
              <w:bottom w:type="dxa" w:w="60"/>
              <w:right w:type="dxa" w:w="100"/>
            </w:tcMar>
          </w:tcPr>
          <w:p>
            <w:r>
              <w:rPr>
                <w:b/>
                <w:bCs/>
                <w:color w:val="FFFFFF"/>
                <w:sz w:val="17"/>
                <w:szCs w:val="17"/>
              </w:rPr>
              <w:t xml:space="preserve">Impact ↓ / Probability →</w:t>
            </w:r>
          </w:p>
        </w:tc>
        <w:tc>
          <w:tcPr>
            <w:tcW w:type="pct" w:w="21%"/>
            <w:tcBorders>
              <w:top w:val="single" w:color="D1D5DB" w:sz="4"/>
              <w:left w:val="single" w:color="D1D5DB" w:sz="4"/>
              <w:bottom w:val="single" w:color="D1D5DB" w:sz="4"/>
              <w:right w:val="single" w:color="D1D5DB" w:sz="4"/>
            </w:tcBorders>
            <w:shd w:fill="DB2777" w:val="clear"/>
            <w:tcMar>
              <w:top w:type="dxa" w:w="60"/>
              <w:left w:type="dxa" w:w="100"/>
              <w:bottom w:type="dxa" w:w="60"/>
              <w:right w:type="dxa" w:w="100"/>
            </w:tcMar>
          </w:tcPr>
          <w:p>
            <w:r>
              <w:rPr>
                <w:b/>
                <w:bCs/>
                <w:color w:val="FFFFFF"/>
                <w:sz w:val="17"/>
                <w:szCs w:val="17"/>
              </w:rPr>
              <w:t xml:space="preserve">Low (1)</w:t>
            </w:r>
          </w:p>
        </w:tc>
        <w:tc>
          <w:tcPr>
            <w:tcW w:type="pct" w:w="21%"/>
            <w:tcBorders>
              <w:top w:val="single" w:color="D1D5DB" w:sz="4"/>
              <w:left w:val="single" w:color="D1D5DB" w:sz="4"/>
              <w:bottom w:val="single" w:color="D1D5DB" w:sz="4"/>
              <w:right w:val="single" w:color="D1D5DB" w:sz="4"/>
            </w:tcBorders>
            <w:shd w:fill="DB2777" w:val="clear"/>
            <w:tcMar>
              <w:top w:type="dxa" w:w="60"/>
              <w:left w:type="dxa" w:w="100"/>
              <w:bottom w:type="dxa" w:w="60"/>
              <w:right w:type="dxa" w:w="100"/>
            </w:tcMar>
          </w:tcPr>
          <w:p>
            <w:r>
              <w:rPr>
                <w:b/>
                <w:bCs/>
                <w:color w:val="FFFFFF"/>
                <w:sz w:val="17"/>
                <w:szCs w:val="17"/>
              </w:rPr>
              <w:t xml:space="preserve">Medium (2)</w:t>
            </w:r>
          </w:p>
        </w:tc>
        <w:tc>
          <w:tcPr>
            <w:tcW w:type="pct" w:w="21%"/>
            <w:tcBorders>
              <w:top w:val="single" w:color="D1D5DB" w:sz="4"/>
              <w:left w:val="single" w:color="D1D5DB" w:sz="4"/>
              <w:bottom w:val="single" w:color="D1D5DB" w:sz="4"/>
              <w:right w:val="single" w:color="D1D5DB" w:sz="4"/>
            </w:tcBorders>
            <w:shd w:fill="DB2777" w:val="clear"/>
            <w:tcMar>
              <w:top w:type="dxa" w:w="60"/>
              <w:left w:type="dxa" w:w="100"/>
              <w:bottom w:type="dxa" w:w="60"/>
              <w:right w:type="dxa" w:w="100"/>
            </w:tcMar>
          </w:tcPr>
          <w:p>
            <w:r>
              <w:rPr>
                <w:b/>
                <w:bCs/>
                <w:color w:val="FFFFFF"/>
                <w:sz w:val="17"/>
                <w:szCs w:val="17"/>
              </w:rPr>
              <w:t xml:space="preserve">High (3)</w:t>
            </w:r>
          </w:p>
        </w:tc>
      </w:tr>
      <w:tr>
        <w:tc>
          <w:tcPr>
            <w:tcW w:type="pct" w:w="38%"/>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Critical / Severe (3)</w:t>
            </w:r>
          </w:p>
        </w:tc>
        <w:tc>
          <w:tcPr>
            <w:tcW w:type="pct" w:w="21%"/>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Medium (3)</w:t>
            </w:r>
          </w:p>
        </w:tc>
        <w:tc>
          <w:tcPr>
            <w:tcW w:type="pct" w:w="21%"/>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High (6)</w:t>
            </w:r>
          </w:p>
        </w:tc>
        <w:tc>
          <w:tcPr>
            <w:tcW w:type="pct" w:w="21%"/>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Critical (9)</w:t>
            </w:r>
          </w:p>
        </w:tc>
      </w:tr>
      <w:tr>
        <w:tc>
          <w:tcPr>
            <w:tcW w:type="pct" w:w="3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High / Serious (2)</w:t>
            </w:r>
          </w:p>
        </w:tc>
        <w:tc>
          <w:tcPr>
            <w:tcW w:type="pct" w:w="21%"/>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Low (2)</w:t>
            </w:r>
          </w:p>
        </w:tc>
        <w:tc>
          <w:tcPr>
            <w:tcW w:type="pct" w:w="21%"/>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Medium (4)</w:t>
            </w:r>
          </w:p>
        </w:tc>
        <w:tc>
          <w:tcPr>
            <w:tcW w:type="pct" w:w="21%"/>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High (6)</w:t>
            </w:r>
          </w:p>
        </w:tc>
      </w:tr>
      <w:tr>
        <w:tc>
          <w:tcPr>
            <w:tcW w:type="pct" w:w="38%"/>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Medium / Minor (1)</w:t>
            </w:r>
          </w:p>
        </w:tc>
        <w:tc>
          <w:tcPr>
            <w:tcW w:type="pct" w:w="21%"/>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Low (1)</w:t>
            </w:r>
          </w:p>
        </w:tc>
        <w:tc>
          <w:tcPr>
            <w:tcW w:type="pct" w:w="21%"/>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Low (2)</w:t>
            </w:r>
          </w:p>
        </w:tc>
        <w:tc>
          <w:tcPr>
            <w:tcW w:type="pct" w:w="21%"/>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Medium (3)</w:t>
            </w:r>
          </w:p>
        </w:tc>
      </w:tr>
    </w:tbl>
    <w:p>
      <w:pPr>
        <w:spacing w:after="160"/>
      </w:pPr>
    </w:p>
    <w:p>
      <w:pPr>
        <w:spacing w:after="140" w:line="276"/>
      </w:pPr>
      <w:r>
        <w:rPr>
          <w:color w:val="4B5563"/>
          <w:sz w:val="20"/>
          <w:szCs w:val="20"/>
        </w:rPr>
        <w:t xml:space="preserve">Risk score = Impact × Probability. Treatment thresholds: 1–2 Low (accept with documentation), 3–4 Medium (treat within 6 months), 6 High (treat within 90 days), 9 Critical (treat immediately; escalate to senior management).</w:t>
      </w:r>
    </w:p>
    <w:p>
      <w:pPr>
        <w:pStyle w:val="Heading1"/>
        <w:pBdr>
          <w:bottom w:val="single" w:color="DB2777" w:sz="8" w:space="4"/>
        </w:pBdr>
        <w:spacing w:after="200" w:before="360"/>
      </w:pPr>
      <w:r>
        <w:rPr>
          <w:b/>
          <w:bCs/>
          <w:color w:val="DB2777"/>
          <w:sz w:val="32"/>
          <w:szCs w:val="32"/>
        </w:rPr>
        <w:t xml:space="preserve">6. Step 5 — Risk Treatment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tcBorders>
              <w:top w:val="single" w:color="D1D5DB" w:sz="4"/>
              <w:left w:val="single" w:color="D1D5DB" w:sz="4"/>
              <w:bottom w:val="single" w:color="D1D5DB" w:sz="4"/>
              <w:right w:val="single" w:color="D1D5DB" w:sz="4"/>
            </w:tcBorders>
            <w:shd w:fill="DB2777" w:val="clear"/>
            <w:tcMar>
              <w:top w:type="dxa" w:w="60"/>
              <w:left w:type="dxa" w:w="100"/>
              <w:bottom w:type="dxa" w:w="60"/>
              <w:right w:type="dxa" w:w="100"/>
            </w:tcMar>
          </w:tcPr>
          <w:p>
            <w:r>
              <w:rPr>
                <w:b/>
                <w:bCs/>
                <w:color w:val="FFFFFF"/>
                <w:sz w:val="17"/>
                <w:szCs w:val="17"/>
              </w:rPr>
              <w:t xml:space="preserve">Strategy</w:t>
            </w:r>
          </w:p>
        </w:tc>
        <w:tc>
          <w:tcPr>
            <w:tcW w:type="pct" w:w="39%"/>
            <w:tcBorders>
              <w:top w:val="single" w:color="D1D5DB" w:sz="4"/>
              <w:left w:val="single" w:color="D1D5DB" w:sz="4"/>
              <w:bottom w:val="single" w:color="D1D5DB" w:sz="4"/>
              <w:right w:val="single" w:color="D1D5DB" w:sz="4"/>
            </w:tcBorders>
            <w:shd w:fill="DB2777" w:val="clear"/>
            <w:tcMar>
              <w:top w:type="dxa" w:w="60"/>
              <w:left w:type="dxa" w:w="100"/>
              <w:bottom w:type="dxa" w:w="60"/>
              <w:right w:type="dxa" w:w="100"/>
            </w:tcMar>
          </w:tcPr>
          <w:p>
            <w:r>
              <w:rPr>
                <w:b/>
                <w:bCs/>
                <w:color w:val="FFFFFF"/>
                <w:sz w:val="17"/>
                <w:szCs w:val="17"/>
              </w:rPr>
              <w:t xml:space="preserve">When to use</w:t>
            </w:r>
          </w:p>
        </w:tc>
        <w:tc>
          <w:tcPr>
            <w:tcW w:type="pct" w:w="43%"/>
            <w:tcBorders>
              <w:top w:val="single" w:color="D1D5DB" w:sz="4"/>
              <w:left w:val="single" w:color="D1D5DB" w:sz="4"/>
              <w:bottom w:val="single" w:color="D1D5DB" w:sz="4"/>
              <w:right w:val="single" w:color="D1D5DB" w:sz="4"/>
            </w:tcBorders>
            <w:shd w:fill="DB2777" w:val="clear"/>
            <w:tcMar>
              <w:top w:type="dxa" w:w="60"/>
              <w:left w:type="dxa" w:w="100"/>
              <w:bottom w:type="dxa" w:w="60"/>
              <w:right w:type="dxa" w:w="100"/>
            </w:tcMar>
          </w:tcPr>
          <w:p>
            <w:r>
              <w:rPr>
                <w:b/>
                <w:bCs/>
                <w:color w:val="FFFFFF"/>
                <w:sz w:val="17"/>
                <w:szCs w:val="17"/>
              </w:rPr>
              <w:t xml:space="preserve">Example</w:t>
            </w:r>
          </w:p>
        </w:tc>
      </w:tr>
      <w:tr>
        <w:tc>
          <w:tcPr>
            <w:tcW w:type="pct" w:w="18%"/>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Avoid</w:t>
            </w:r>
          </w:p>
        </w:tc>
        <w:tc>
          <w:tcPr>
            <w:tcW w:type="pct" w:w="39%"/>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Activity’s risk outweighs its value</w:t>
            </w:r>
          </w:p>
        </w:tc>
        <w:tc>
          <w:tcPr>
            <w:tcW w:type="pct" w:w="43%"/>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Stop collecting NIC numbers where a customer ID suffices</w:t>
            </w:r>
          </w:p>
        </w:tc>
      </w:tr>
      <w:tr>
        <w:tc>
          <w:tcPr>
            <w:tcW w:type="pct" w:w="1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Reduce</w:t>
            </w:r>
          </w:p>
        </w:tc>
        <w:tc>
          <w:tcPr>
            <w:tcW w:type="pct" w:w="39%"/>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Controls can cut likelihood or impact</w:t>
            </w:r>
          </w:p>
        </w:tc>
        <w:tc>
          <w:tcPr>
            <w:tcW w:type="pct" w:w="43%"/>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Deploy endpoint DLP blocking USB writes of Restricted data</w:t>
            </w:r>
          </w:p>
        </w:tc>
      </w:tr>
      <w:tr>
        <w:tc>
          <w:tcPr>
            <w:tcW w:type="pct" w:w="18%"/>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Transfer</w:t>
            </w:r>
          </w:p>
        </w:tc>
        <w:tc>
          <w:tcPr>
            <w:tcW w:type="pct" w:w="39%"/>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Residual financial risk is insurable / contractible</w:t>
            </w:r>
          </w:p>
        </w:tc>
        <w:tc>
          <w:tcPr>
            <w:tcW w:type="pct" w:w="43%"/>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Cyber insurance; indemnity clauses with processors</w:t>
            </w:r>
          </w:p>
        </w:tc>
      </w:tr>
      <w:tr>
        <w:tc>
          <w:tcPr>
            <w:tcW w:type="pct" w:w="1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Accept</w:t>
            </w:r>
          </w:p>
        </w:tc>
        <w:tc>
          <w:tcPr>
            <w:tcW w:type="pct" w:w="39%"/>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Residual risk is Low and treatment is disproportionate</w:t>
            </w:r>
          </w:p>
        </w:tc>
        <w:tc>
          <w:tcPr>
            <w:tcW w:type="pct" w:w="43%"/>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Documented acceptance of Internal-data print risk, signed by owner</w:t>
            </w:r>
          </w:p>
        </w:tc>
      </w:tr>
    </w:tbl>
    <w:p>
      <w:pPr>
        <w:spacing w:after="160"/>
      </w:pPr>
    </w:p>
    <w:p>
      <w:pPr>
        <w:pStyle w:val="Heading1"/>
        <w:pBdr>
          <w:bottom w:val="single" w:color="DB2777" w:sz="8" w:space="4"/>
        </w:pBdr>
        <w:spacing w:after="200" w:before="360"/>
      </w:pPr>
      <w:r>
        <w:rPr>
          <w:b/>
          <w:bCs/>
          <w:color w:val="DB2777"/>
          <w:sz w:val="32"/>
          <w:szCs w:val="32"/>
        </w:rPr>
        <w:t xml:space="preserve">7. Risk Register (worksheet)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blHeader/>
        </w:trPr>
        <w:tc>
          <w:tcPr>
            <w:tcW w:type="pct" w:w="8%"/>
            <w:tcBorders>
              <w:top w:val="single" w:color="D1D5DB" w:sz="4"/>
              <w:left w:val="single" w:color="D1D5DB" w:sz="4"/>
              <w:bottom w:val="single" w:color="D1D5DB" w:sz="4"/>
              <w:right w:val="single" w:color="D1D5DB" w:sz="4"/>
            </w:tcBorders>
            <w:shd w:fill="DB2777" w:val="clear"/>
            <w:tcMar>
              <w:top w:type="dxa" w:w="60"/>
              <w:left w:type="dxa" w:w="100"/>
              <w:bottom w:type="dxa" w:w="60"/>
              <w:right w:type="dxa" w:w="100"/>
            </w:tcMar>
          </w:tcPr>
          <w:p>
            <w:r>
              <w:rPr>
                <w:b/>
                <w:bCs/>
                <w:color w:val="FFFFFF"/>
                <w:sz w:val="17"/>
                <w:szCs w:val="17"/>
              </w:rPr>
              <w:t xml:space="preserve">Risk ID</w:t>
            </w:r>
          </w:p>
        </w:tc>
        <w:tc>
          <w:tcPr>
            <w:tcW w:type="pct" w:w="10%"/>
            <w:tcBorders>
              <w:top w:val="single" w:color="D1D5DB" w:sz="4"/>
              <w:left w:val="single" w:color="D1D5DB" w:sz="4"/>
              <w:bottom w:val="single" w:color="D1D5DB" w:sz="4"/>
              <w:right w:val="single" w:color="D1D5DB" w:sz="4"/>
            </w:tcBorders>
            <w:shd w:fill="DB2777" w:val="clear"/>
            <w:tcMar>
              <w:top w:type="dxa" w:w="60"/>
              <w:left w:type="dxa" w:w="100"/>
              <w:bottom w:type="dxa" w:w="60"/>
              <w:right w:type="dxa" w:w="100"/>
            </w:tcMar>
          </w:tcPr>
          <w:p>
            <w:r>
              <w:rPr>
                <w:b/>
                <w:bCs/>
                <w:color w:val="FFFFFF"/>
                <w:sz w:val="17"/>
                <w:szCs w:val="17"/>
              </w:rPr>
              <w:t xml:space="preserve">Asset</w:t>
            </w:r>
          </w:p>
        </w:tc>
        <w:tc>
          <w:tcPr>
            <w:tcW w:type="pct" w:w="10%"/>
            <w:tcBorders>
              <w:top w:val="single" w:color="D1D5DB" w:sz="4"/>
              <w:left w:val="single" w:color="D1D5DB" w:sz="4"/>
              <w:bottom w:val="single" w:color="D1D5DB" w:sz="4"/>
              <w:right w:val="single" w:color="D1D5DB" w:sz="4"/>
            </w:tcBorders>
            <w:shd w:fill="DB2777" w:val="clear"/>
            <w:tcMar>
              <w:top w:type="dxa" w:w="60"/>
              <w:left w:type="dxa" w:w="100"/>
              <w:bottom w:type="dxa" w:w="60"/>
              <w:right w:type="dxa" w:w="100"/>
            </w:tcMar>
          </w:tcPr>
          <w:p>
            <w:r>
              <w:rPr>
                <w:b/>
                <w:bCs/>
                <w:color w:val="FFFFFF"/>
                <w:sz w:val="17"/>
                <w:szCs w:val="17"/>
              </w:rPr>
              <w:t xml:space="preserve">Threat</w:t>
            </w:r>
          </w:p>
        </w:tc>
        <w:tc>
          <w:tcPr>
            <w:tcW w:type="pct" w:w="7%"/>
            <w:tcBorders>
              <w:top w:val="single" w:color="D1D5DB" w:sz="4"/>
              <w:left w:val="single" w:color="D1D5DB" w:sz="4"/>
              <w:bottom w:val="single" w:color="D1D5DB" w:sz="4"/>
              <w:right w:val="single" w:color="D1D5DB" w:sz="4"/>
            </w:tcBorders>
            <w:shd w:fill="DB2777" w:val="clear"/>
            <w:tcMar>
              <w:top w:type="dxa" w:w="60"/>
              <w:left w:type="dxa" w:w="100"/>
              <w:bottom w:type="dxa" w:w="60"/>
              <w:right w:type="dxa" w:w="100"/>
            </w:tcMar>
          </w:tcPr>
          <w:p>
            <w:r>
              <w:rPr>
                <w:b/>
                <w:bCs/>
                <w:color w:val="FFFFFF"/>
                <w:sz w:val="17"/>
                <w:szCs w:val="17"/>
              </w:rPr>
              <w:t xml:space="preserve">P (1-3)</w:t>
            </w:r>
          </w:p>
        </w:tc>
        <w:tc>
          <w:tcPr>
            <w:tcW w:type="pct" w:w="7%"/>
            <w:tcBorders>
              <w:top w:val="single" w:color="D1D5DB" w:sz="4"/>
              <w:left w:val="single" w:color="D1D5DB" w:sz="4"/>
              <w:bottom w:val="single" w:color="D1D5DB" w:sz="4"/>
              <w:right w:val="single" w:color="D1D5DB" w:sz="4"/>
            </w:tcBorders>
            <w:shd w:fill="DB2777" w:val="clear"/>
            <w:tcMar>
              <w:top w:type="dxa" w:w="60"/>
              <w:left w:type="dxa" w:w="100"/>
              <w:bottom w:type="dxa" w:w="60"/>
              <w:right w:type="dxa" w:w="100"/>
            </w:tcMar>
          </w:tcPr>
          <w:p>
            <w:r>
              <w:rPr>
                <w:b/>
                <w:bCs/>
                <w:color w:val="FFFFFF"/>
                <w:sz w:val="17"/>
                <w:szCs w:val="17"/>
              </w:rPr>
              <w:t xml:space="preserve">I (1-3)</w:t>
            </w:r>
          </w:p>
        </w:tc>
        <w:tc>
          <w:tcPr>
            <w:tcW w:type="pct" w:w="8%"/>
            <w:tcBorders>
              <w:top w:val="single" w:color="D1D5DB" w:sz="4"/>
              <w:left w:val="single" w:color="D1D5DB" w:sz="4"/>
              <w:bottom w:val="single" w:color="D1D5DB" w:sz="4"/>
              <w:right w:val="single" w:color="D1D5DB" w:sz="4"/>
            </w:tcBorders>
            <w:shd w:fill="DB2777" w:val="clear"/>
            <w:tcMar>
              <w:top w:type="dxa" w:w="60"/>
              <w:left w:type="dxa" w:w="100"/>
              <w:bottom w:type="dxa" w:w="60"/>
              <w:right w:type="dxa" w:w="100"/>
            </w:tcMar>
          </w:tcPr>
          <w:p>
            <w:r>
              <w:rPr>
                <w:b/>
                <w:bCs/>
                <w:color w:val="FFFFFF"/>
                <w:sz w:val="17"/>
                <w:szCs w:val="17"/>
              </w:rPr>
              <w:t xml:space="preserve">Score</w:t>
            </w:r>
          </w:p>
        </w:tc>
        <w:tc>
          <w:tcPr>
            <w:tcW w:type="pct" w:w="10%"/>
            <w:tcBorders>
              <w:top w:val="single" w:color="D1D5DB" w:sz="4"/>
              <w:left w:val="single" w:color="D1D5DB" w:sz="4"/>
              <w:bottom w:val="single" w:color="D1D5DB" w:sz="4"/>
              <w:right w:val="single" w:color="D1D5DB" w:sz="4"/>
            </w:tcBorders>
            <w:shd w:fill="DB2777" w:val="clear"/>
            <w:tcMar>
              <w:top w:type="dxa" w:w="60"/>
              <w:left w:type="dxa" w:w="100"/>
              <w:bottom w:type="dxa" w:w="60"/>
              <w:right w:type="dxa" w:w="100"/>
            </w:tcMar>
          </w:tcPr>
          <w:p>
            <w:r>
              <w:rPr>
                <w:b/>
                <w:bCs/>
                <w:color w:val="FFFFFF"/>
                <w:sz w:val="17"/>
                <w:szCs w:val="17"/>
              </w:rPr>
              <w:t xml:space="preserve">Level</w:t>
            </w:r>
          </w:p>
        </w:tc>
        <w:tc>
          <w:tcPr>
            <w:tcW w:type="pct" w:w="20%"/>
            <w:tcBorders>
              <w:top w:val="single" w:color="D1D5DB" w:sz="4"/>
              <w:left w:val="single" w:color="D1D5DB" w:sz="4"/>
              <w:bottom w:val="single" w:color="D1D5DB" w:sz="4"/>
              <w:right w:val="single" w:color="D1D5DB" w:sz="4"/>
            </w:tcBorders>
            <w:shd w:fill="DB2777" w:val="clear"/>
            <w:tcMar>
              <w:top w:type="dxa" w:w="60"/>
              <w:left w:type="dxa" w:w="100"/>
              <w:bottom w:type="dxa" w:w="60"/>
              <w:right w:type="dxa" w:w="100"/>
            </w:tcMar>
          </w:tcPr>
          <w:p>
            <w:r>
              <w:rPr>
                <w:b/>
                <w:bCs/>
                <w:color w:val="FFFFFF"/>
                <w:sz w:val="17"/>
                <w:szCs w:val="17"/>
              </w:rPr>
              <w:t xml:space="preserve">Treatment</w:t>
            </w:r>
          </w:p>
        </w:tc>
        <w:tc>
          <w:tcPr>
            <w:tcW w:type="pct" w:w="10%"/>
            <w:tcBorders>
              <w:top w:val="single" w:color="D1D5DB" w:sz="4"/>
              <w:left w:val="single" w:color="D1D5DB" w:sz="4"/>
              <w:bottom w:val="single" w:color="D1D5DB" w:sz="4"/>
              <w:right w:val="single" w:color="D1D5DB" w:sz="4"/>
            </w:tcBorders>
            <w:shd w:fill="DB2777" w:val="clear"/>
            <w:tcMar>
              <w:top w:type="dxa" w:w="60"/>
              <w:left w:type="dxa" w:w="100"/>
              <w:bottom w:type="dxa" w:w="60"/>
              <w:right w:type="dxa" w:w="100"/>
            </w:tcMar>
          </w:tcPr>
          <w:p>
            <w:r>
              <w:rPr>
                <w:b/>
                <w:bCs/>
                <w:color w:val="FFFFFF"/>
                <w:sz w:val="17"/>
                <w:szCs w:val="17"/>
              </w:rPr>
              <w:t xml:space="preserve">Owner</w:t>
            </w:r>
          </w:p>
        </w:tc>
        <w:tc>
          <w:tcPr>
            <w:tcW w:type="pct" w:w="9%"/>
            <w:tcBorders>
              <w:top w:val="single" w:color="D1D5DB" w:sz="4"/>
              <w:left w:val="single" w:color="D1D5DB" w:sz="4"/>
              <w:bottom w:val="single" w:color="D1D5DB" w:sz="4"/>
              <w:right w:val="single" w:color="D1D5DB" w:sz="4"/>
            </w:tcBorders>
            <w:shd w:fill="DB2777" w:val="clear"/>
            <w:tcMar>
              <w:top w:type="dxa" w:w="60"/>
              <w:left w:type="dxa" w:w="100"/>
              <w:bottom w:type="dxa" w:w="60"/>
              <w:right w:type="dxa" w:w="100"/>
            </w:tcMar>
          </w:tcPr>
          <w:p>
            <w:r>
              <w:rPr>
                <w:b/>
                <w:bCs/>
                <w:color w:val="FFFFFF"/>
                <w:sz w:val="17"/>
                <w:szCs w:val="17"/>
              </w:rPr>
              <w:t xml:space="preserve">Due</w:t>
            </w:r>
          </w:p>
        </w:tc>
      </w:tr>
      <w:tr>
        <w:tc>
          <w:tcPr>
            <w:tcW w:type="pct" w:w="8%"/>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R-01</w:t>
            </w:r>
          </w:p>
        </w:tc>
        <w:tc>
          <w:tcPr>
            <w:tcW w:type="pct" w:w="1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[A-02]</w:t>
            </w:r>
          </w:p>
        </w:tc>
        <w:tc>
          <w:tcPr>
            <w:tcW w:type="pct" w:w="1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[T-01]</w:t>
            </w:r>
          </w:p>
        </w:tc>
        <w:tc>
          <w:tcPr>
            <w:tcW w:type="pct" w:w="7%"/>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[3]</w:t>
            </w:r>
          </w:p>
        </w:tc>
        <w:tc>
          <w:tcPr>
            <w:tcW w:type="pct" w:w="7%"/>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[3]</w:t>
            </w:r>
          </w:p>
        </w:tc>
        <w:tc>
          <w:tcPr>
            <w:tcW w:type="pct" w:w="8%"/>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[9]</w:t>
            </w:r>
          </w:p>
        </w:tc>
        <w:tc>
          <w:tcPr>
            <w:tcW w:type="pct" w:w="1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[Critical]</w:t>
            </w:r>
          </w:p>
        </w:tc>
        <w:tc>
          <w:tcPr>
            <w:tcW w:type="pct" w:w="2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[Reduce: DLP email rule]</w:t>
            </w:r>
          </w:p>
        </w:tc>
        <w:tc>
          <w:tcPr>
            <w:tcW w:type="pct" w:w="1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[IT Sec]</w:t>
            </w:r>
          </w:p>
        </w:tc>
        <w:tc>
          <w:tcPr>
            <w:tcW w:type="pct" w:w="9%"/>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[date]</w:t>
            </w:r>
          </w:p>
        </w:tc>
      </w:tr>
      <w:tr>
        <w:tc>
          <w:tcPr>
            <w:tcW w:type="pct" w:w="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R-02</w:t>
            </w:r>
          </w:p>
        </w:tc>
        <w:tc>
          <w:tcPr>
            <w:tcW w:type="pct" w:w="1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c>
          <w:tcPr>
            <w:tcW w:type="pct" w:w="1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c>
          <w:tcPr>
            <w:tcW w:type="pct" w:w="7%"/>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c>
          <w:tcPr>
            <w:tcW w:type="pct" w:w="7%"/>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c>
          <w:tcPr>
            <w:tcW w:type="pct" w:w="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c>
          <w:tcPr>
            <w:tcW w:type="pct" w:w="1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c>
          <w:tcPr>
            <w:tcW w:type="pct" w:w="2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c>
          <w:tcPr>
            <w:tcW w:type="pct" w:w="1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c>
          <w:tcPr>
            <w:tcW w:type="pct" w:w="9%"/>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r>
      <w:tr>
        <w:tc>
          <w:tcPr>
            <w:tcW w:type="pct" w:w="8%"/>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R-03</w:t>
            </w:r>
          </w:p>
        </w:tc>
        <w:tc>
          <w:tcPr>
            <w:tcW w:type="pct" w:w="1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
            </w:r>
          </w:p>
        </w:tc>
        <w:tc>
          <w:tcPr>
            <w:tcW w:type="pct" w:w="1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
            </w:r>
          </w:p>
        </w:tc>
        <w:tc>
          <w:tcPr>
            <w:tcW w:type="pct" w:w="7%"/>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
            </w:r>
          </w:p>
        </w:tc>
        <w:tc>
          <w:tcPr>
            <w:tcW w:type="pct" w:w="7%"/>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
            </w:r>
          </w:p>
        </w:tc>
        <w:tc>
          <w:tcPr>
            <w:tcW w:type="pct" w:w="8%"/>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
            </w:r>
          </w:p>
        </w:tc>
        <w:tc>
          <w:tcPr>
            <w:tcW w:type="pct" w:w="1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
            </w:r>
          </w:p>
        </w:tc>
        <w:tc>
          <w:tcPr>
            <w:tcW w:type="pct" w:w="2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
            </w:r>
          </w:p>
        </w:tc>
        <w:tc>
          <w:tcPr>
            <w:tcW w:type="pct" w:w="1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
            </w:r>
          </w:p>
        </w:tc>
        <w:tc>
          <w:tcPr>
            <w:tcW w:type="pct" w:w="9%"/>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
            </w:r>
          </w:p>
        </w:tc>
      </w:tr>
      <w:tr>
        <w:tc>
          <w:tcPr>
            <w:tcW w:type="pct" w:w="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R-04</w:t>
            </w:r>
          </w:p>
        </w:tc>
        <w:tc>
          <w:tcPr>
            <w:tcW w:type="pct" w:w="1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c>
          <w:tcPr>
            <w:tcW w:type="pct" w:w="1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c>
          <w:tcPr>
            <w:tcW w:type="pct" w:w="7%"/>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c>
          <w:tcPr>
            <w:tcW w:type="pct" w:w="7%"/>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c>
          <w:tcPr>
            <w:tcW w:type="pct" w:w="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c>
          <w:tcPr>
            <w:tcW w:type="pct" w:w="1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c>
          <w:tcPr>
            <w:tcW w:type="pct" w:w="2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c>
          <w:tcPr>
            <w:tcW w:type="pct" w:w="1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c>
          <w:tcPr>
            <w:tcW w:type="pct" w:w="9%"/>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r>
      <w:tr>
        <w:tc>
          <w:tcPr>
            <w:tcW w:type="pct" w:w="8%"/>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R-05</w:t>
            </w:r>
          </w:p>
        </w:tc>
        <w:tc>
          <w:tcPr>
            <w:tcW w:type="pct" w:w="1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
            </w:r>
          </w:p>
        </w:tc>
        <w:tc>
          <w:tcPr>
            <w:tcW w:type="pct" w:w="1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
            </w:r>
          </w:p>
        </w:tc>
        <w:tc>
          <w:tcPr>
            <w:tcW w:type="pct" w:w="7%"/>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
            </w:r>
          </w:p>
        </w:tc>
        <w:tc>
          <w:tcPr>
            <w:tcW w:type="pct" w:w="7%"/>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
            </w:r>
          </w:p>
        </w:tc>
        <w:tc>
          <w:tcPr>
            <w:tcW w:type="pct" w:w="8%"/>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
            </w:r>
          </w:p>
        </w:tc>
        <w:tc>
          <w:tcPr>
            <w:tcW w:type="pct" w:w="1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
            </w:r>
          </w:p>
        </w:tc>
        <w:tc>
          <w:tcPr>
            <w:tcW w:type="pct" w:w="2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
            </w:r>
          </w:p>
        </w:tc>
        <w:tc>
          <w:tcPr>
            <w:tcW w:type="pct" w:w="1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
            </w:r>
          </w:p>
        </w:tc>
        <w:tc>
          <w:tcPr>
            <w:tcW w:type="pct" w:w="9%"/>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
            </w:r>
          </w:p>
        </w:tc>
      </w:tr>
      <w:tr>
        <w:tc>
          <w:tcPr>
            <w:tcW w:type="pct" w:w="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R-06</w:t>
            </w:r>
          </w:p>
        </w:tc>
        <w:tc>
          <w:tcPr>
            <w:tcW w:type="pct" w:w="1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c>
          <w:tcPr>
            <w:tcW w:type="pct" w:w="1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c>
          <w:tcPr>
            <w:tcW w:type="pct" w:w="7%"/>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c>
          <w:tcPr>
            <w:tcW w:type="pct" w:w="7%"/>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c>
          <w:tcPr>
            <w:tcW w:type="pct" w:w="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c>
          <w:tcPr>
            <w:tcW w:type="pct" w:w="1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c>
          <w:tcPr>
            <w:tcW w:type="pct" w:w="2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c>
          <w:tcPr>
            <w:tcW w:type="pct" w:w="1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c>
          <w:tcPr>
            <w:tcW w:type="pct" w:w="9%"/>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r>
      <w:tr>
        <w:tc>
          <w:tcPr>
            <w:tcW w:type="pct" w:w="8%"/>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R-07</w:t>
            </w:r>
          </w:p>
        </w:tc>
        <w:tc>
          <w:tcPr>
            <w:tcW w:type="pct" w:w="1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
            </w:r>
          </w:p>
        </w:tc>
        <w:tc>
          <w:tcPr>
            <w:tcW w:type="pct" w:w="1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
            </w:r>
          </w:p>
        </w:tc>
        <w:tc>
          <w:tcPr>
            <w:tcW w:type="pct" w:w="7%"/>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
            </w:r>
          </w:p>
        </w:tc>
        <w:tc>
          <w:tcPr>
            <w:tcW w:type="pct" w:w="7%"/>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
            </w:r>
          </w:p>
        </w:tc>
        <w:tc>
          <w:tcPr>
            <w:tcW w:type="pct" w:w="8%"/>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
            </w:r>
          </w:p>
        </w:tc>
        <w:tc>
          <w:tcPr>
            <w:tcW w:type="pct" w:w="1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
            </w:r>
          </w:p>
        </w:tc>
        <w:tc>
          <w:tcPr>
            <w:tcW w:type="pct" w:w="2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
            </w:r>
          </w:p>
        </w:tc>
        <w:tc>
          <w:tcPr>
            <w:tcW w:type="pct" w:w="1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
            </w:r>
          </w:p>
        </w:tc>
        <w:tc>
          <w:tcPr>
            <w:tcW w:type="pct" w:w="9%"/>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
            </w:r>
          </w:p>
        </w:tc>
      </w:tr>
      <w:tr>
        <w:tc>
          <w:tcPr>
            <w:tcW w:type="pct" w:w="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R-08</w:t>
            </w:r>
          </w:p>
        </w:tc>
        <w:tc>
          <w:tcPr>
            <w:tcW w:type="pct" w:w="1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c>
          <w:tcPr>
            <w:tcW w:type="pct" w:w="1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c>
          <w:tcPr>
            <w:tcW w:type="pct" w:w="7%"/>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c>
          <w:tcPr>
            <w:tcW w:type="pct" w:w="7%"/>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c>
          <w:tcPr>
            <w:tcW w:type="pct" w:w="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c>
          <w:tcPr>
            <w:tcW w:type="pct" w:w="1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c>
          <w:tcPr>
            <w:tcW w:type="pct" w:w="2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c>
          <w:tcPr>
            <w:tcW w:type="pct" w:w="1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c>
          <w:tcPr>
            <w:tcW w:type="pct" w:w="9%"/>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B2777" w:sz="6"/>
              <w:left w:val="single" w:color="DB2777" w:sz="18"/>
              <w:bottom w:val="single" w:color="DB2777" w:sz="6"/>
              <w:right w:val="single" w:color="DB2777" w:sz="6"/>
            </w:tcBorders>
            <w:shd w:fill="F0F9FF" w:val="clear"/>
            <w:tcMar>
              <w:top w:type="dxa" w:w="100"/>
              <w:left w:type="dxa" w:w="140"/>
              <w:bottom w:type="dxa" w:w="100"/>
              <w:right w:type="dxa" w:w="140"/>
            </w:tcMar>
          </w:tcPr>
          <w:p>
            <w:pPr>
              <w:spacing w:after="60"/>
            </w:pPr>
            <w:r>
              <w:rPr>
                <w:b/>
                <w:bCs/>
                <w:color w:val="DB2777"/>
                <w:sz w:val="19"/>
                <w:szCs w:val="19"/>
              </w:rPr>
              <w:t xml:space="preserve">Review cadence</w:t>
            </w:r>
          </w:p>
          <w:p>
            <w:r>
              <w:rPr>
                <w:color w:val="4B5563"/>
                <w:sz w:val="18"/>
                <w:szCs w:val="18"/>
              </w:rPr>
              <w:t xml:space="preserve">Review Critical and High risks monthly until treated; review the full register quarterly. Re-run the complete assessment annually and record it as PDPA accountability evidence.</w:t>
            </w:r>
          </w:p>
        </w:tc>
      </w:tr>
    </w:tbl>
    <w:p>
      <w:pPr>
        <w:spacing w:after="160"/>
      </w:pPr>
    </w:p>
    <w:p>
      <w:pPr>
        <w:pStyle w:val="Heading1"/>
        <w:pBdr>
          <w:bottom w:val="single" w:color="DB2777" w:sz="8" w:space="4"/>
        </w:pBdr>
        <w:spacing w:after="200" w:before="360"/>
      </w:pPr>
      <w:r>
        <w:rPr>
          <w:b/>
          <w:bCs/>
          <w:color w:val="DB2777"/>
          <w:sz w:val="32"/>
          <w:szCs w:val="32"/>
        </w:rPr>
        <w:t xml:space="preserve">8. Sign-off</w:t>
      </w:r>
    </w:p>
    <w:p>
      <w:pPr>
        <w:tabs>
          <w:tab w:val="right" w:pos="9360" w:leader="underscore"/>
        </w:tabs>
        <w:spacing w:after="200"/>
      </w:pPr>
      <w:r>
        <w:rPr>
          <w:b/>
          <w:bCs/>
          <w:color w:val="111827"/>
          <w:sz w:val="20"/>
          <w:szCs w:val="20"/>
        </w:rPr>
        <w:t xml:space="preserve">Assessment performed by:  </w:t>
      </w:r>
      <w:r>
        <w:rPr>
          <w:sz w:val="20"/>
          <w:szCs w:val="20"/>
        </w:rPr>
        <w:t xml:space="preserve">	</w:t>
      </w:r>
    </w:p>
    <w:p>
      <w:pPr>
        <w:tabs>
          <w:tab w:val="right" w:pos="9360" w:leader="underscore"/>
        </w:tabs>
        <w:spacing w:after="200"/>
      </w:pPr>
      <w:r>
        <w:rPr>
          <w:b/>
          <w:bCs/>
          <w:color w:val="111827"/>
          <w:sz w:val="20"/>
          <w:szCs w:val="20"/>
        </w:rPr>
        <w:t xml:space="preserve">Date of assessment:  </w:t>
      </w:r>
      <w:r>
        <w:rPr>
          <w:sz w:val="20"/>
          <w:szCs w:val="20"/>
        </w:rPr>
        <w:t xml:space="preserve">	</w:t>
      </w:r>
    </w:p>
    <w:p>
      <w:pPr>
        <w:tabs>
          <w:tab w:val="right" w:pos="9360" w:leader="underscore"/>
        </w:tabs>
        <w:spacing w:after="200"/>
      </w:pPr>
      <w:r>
        <w:rPr>
          <w:b/>
          <w:bCs/>
          <w:color w:val="111827"/>
          <w:sz w:val="20"/>
          <w:szCs w:val="20"/>
        </w:rPr>
        <w:t xml:space="preserve">Reviewed by (DPO):  </w:t>
      </w:r>
      <w:r>
        <w:rPr>
          <w:sz w:val="20"/>
          <w:szCs w:val="20"/>
        </w:rPr>
        <w:t xml:space="preserve">	</w:t>
      </w:r>
    </w:p>
    <w:p>
      <w:pPr>
        <w:tabs>
          <w:tab w:val="right" w:pos="9360" w:leader="underscore"/>
        </w:tabs>
        <w:spacing w:after="200"/>
      </w:pPr>
      <w:r>
        <w:rPr>
          <w:b/>
          <w:bCs/>
          <w:color w:val="111827"/>
          <w:sz w:val="20"/>
          <w:szCs w:val="20"/>
        </w:rPr>
        <w:t xml:space="preserve">Approved by (management):  </w:t>
      </w:r>
      <w:r>
        <w:rPr>
          <w:sz w:val="20"/>
          <w:szCs w:val="20"/>
        </w:rPr>
        <w:t xml:space="preserve">	</w:t>
      </w:r>
    </w:p>
    <w:p>
      <w:pPr>
        <w:tabs>
          <w:tab w:val="right" w:pos="9360" w:leader="underscore"/>
        </w:tabs>
        <w:spacing w:after="200"/>
      </w:pPr>
      <w:r>
        <w:rPr>
          <w:b/>
          <w:bCs/>
          <w:color w:val="111827"/>
          <w:sz w:val="20"/>
          <w:szCs w:val="20"/>
        </w:rPr>
        <w:t xml:space="preserve">Next assessment due:  </w:t>
      </w:r>
      <w:r>
        <w:rPr>
          <w:sz w:val="20"/>
          <w:szCs w:val="20"/>
        </w:rPr>
        <w:t xml:space="preserve">	</w:t>
      </w:r>
    </w:p>
    <w:p>
      <w:pPr>
        <w:spacing w:after="60"/>
      </w:pPr>
    </w:p>
    <w:sectPr>
      <w:footerReference w:type="default" r:id="rId7"/>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9CA3AF"/>
        <w:sz w:val="16"/>
        <w:szCs w:val="16"/>
      </w:rPr>
      <w:t xml:space="preserve">OpenDLP-LK — DLP Risk Assessment Framework v1.0</w:t>
    </w:r>
    <w:r>
      <w:rPr>
        <w:sz w:val="16"/>
        <w:szCs w:val="16"/>
      </w:rPr>
      <w:t xml:space="preserve">	</w:t>
    </w:r>
    <w:r>
      <w:rPr>
        <w:color w:val="9CA3A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2026-07-15T11:32:34.350Z</dcterms:created>
  <dcterms:modified xsi:type="dcterms:W3CDTF">2026-07-15T11:32:34.350Z</dcterms:modified>
</cp:coreProperties>
</file>

<file path=docProps/custom.xml><?xml version="1.0" encoding="utf-8"?>
<Properties xmlns="http://schemas.openxmlformats.org/officeDocument/2006/custom-properties" xmlns:vt="http://schemas.openxmlformats.org/officeDocument/2006/docPropsVTypes"/>
</file>