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DC2626"/>
          <w:sz w:val="24"/>
          <w:szCs w:val="24"/>
        </w:rPr>
        <w:t xml:space="preserve">OpenDLP-LK</w:t>
      </w:r>
    </w:p>
    <w:p>
      <w:pPr>
        <w:pBdr>
          <w:bottom w:val="single" w:color="D1D5DB" w:sz="6" w:space="6"/>
        </w:pBdr>
        <w:spacing w:after="600"/>
      </w:pPr>
      <w:r>
        <w:rPr>
          <w:color w:val="4B5563"/>
          <w:sz w:val="18"/>
          <w:szCs w:val="18"/>
        </w:rPr>
        <w:t xml:space="preserve">Open-Source Data Loss Prevention for Sri Lankan Enterprises</w:t>
      </w:r>
    </w:p>
    <w:p>
      <w:pPr>
        <w:spacing w:after="200"/>
      </w:pPr>
      <w:r>
        <w:rPr>
          <w:b/>
          <w:bCs/>
          <w:color w:val="111827"/>
          <w:sz w:val="56"/>
          <w:szCs w:val="56"/>
        </w:rPr>
        <w:t xml:space="preserve">Data Breach Incident Response Plan</w:t>
      </w:r>
    </w:p>
    <w:p>
      <w:pPr>
        <w:spacing w:after="600"/>
      </w:pPr>
      <w:r>
        <w:rPr>
          <w:color w:val="4B5563"/>
          <w:sz w:val="26"/>
          <w:szCs w:val="26"/>
        </w:rPr>
        <w:t xml:space="preserve">Step-by-step response procedures, forms, checklists and communication templates for data incidents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b/>
                <w:bCs/>
                <w:color w:val="111827"/>
                <w:sz w:val="20"/>
                <w:szCs w:val="20"/>
              </w:rPr>
              <w:t xml:space="preserve">Document ID</w:t>
            </w:r>
          </w:p>
        </w:tc>
        <w:tc>
          <w:tcPr>
            <w:tcW w:type="pct" w:w="72%"/>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color w:val="4B5563"/>
                <w:sz w:val="20"/>
                <w:szCs w:val="20"/>
              </w:rPr>
              <w:t xml:space="preserve">PLN-IR-001</w:t>
            </w:r>
          </w:p>
        </w:tc>
      </w:tr>
      <w:tr>
        <w:tc>
          <w:tcPr>
            <w:tcW w:type="pct" w:w="28%"/>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b/>
                <w:bCs/>
                <w:color w:val="111827"/>
                <w:sz w:val="20"/>
                <w:szCs w:val="20"/>
              </w:rPr>
              <w:t xml:space="preserve">Version</w:t>
            </w:r>
          </w:p>
        </w:tc>
        <w:tc>
          <w:tcPr>
            <w:tcW w:type="pct" w:w="72%"/>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color w:val="4B5563"/>
                <w:sz w:val="20"/>
                <w:szCs w:val="20"/>
              </w:rPr>
              <w:t xml:space="preserve">1.0 (template)</w:t>
            </w:r>
          </w:p>
        </w:tc>
      </w:tr>
      <w:tr>
        <w:tc>
          <w:tcPr>
            <w:tcW w:type="pct" w:w="28%"/>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b/>
                <w:bCs/>
                <w:color w:val="111827"/>
                <w:sz w:val="20"/>
                <w:szCs w:val="20"/>
              </w:rPr>
              <w:t xml:space="preserve">Classification</w:t>
            </w:r>
          </w:p>
        </w:tc>
        <w:tc>
          <w:tcPr>
            <w:tcW w:type="pct" w:w="72%"/>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color w:val="4B5563"/>
                <w:sz w:val="20"/>
                <w:szCs w:val="20"/>
              </w:rPr>
              <w:t xml:space="preserve">Internal</w:t>
            </w:r>
          </w:p>
        </w:tc>
      </w:tr>
      <w:tr>
        <w:tc>
          <w:tcPr>
            <w:tcW w:type="pct" w:w="28%"/>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b/>
                <w:bCs/>
                <w:color w:val="111827"/>
                <w:sz w:val="20"/>
                <w:szCs w:val="20"/>
              </w:rPr>
              <w:t xml:space="preserve">Owner</w:t>
            </w:r>
          </w:p>
        </w:tc>
        <w:tc>
          <w:tcPr>
            <w:tcW w:type="pct" w:w="72%"/>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color w:val="4B5563"/>
                <w:sz w:val="20"/>
                <w:szCs w:val="20"/>
              </w:rPr>
              <w:t xml:space="preserve">[Data Protection Officer / IT Security Manager]</w:t>
            </w:r>
          </w:p>
        </w:tc>
      </w:tr>
      <w:tr>
        <w:tc>
          <w:tcPr>
            <w:tcW w:type="pct" w:w="28%"/>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b/>
                <w:bCs/>
                <w:color w:val="111827"/>
                <w:sz w:val="20"/>
                <w:szCs w:val="20"/>
              </w:rPr>
              <w:t xml:space="preserve">Approved by</w:t>
            </w:r>
          </w:p>
        </w:tc>
        <w:tc>
          <w:tcPr>
            <w:tcW w:type="pct" w:w="72%"/>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color w:val="4B5563"/>
                <w:sz w:val="20"/>
                <w:szCs w:val="20"/>
              </w:rPr>
              <w:t xml:space="preserve">[Name, Title]</w:t>
            </w:r>
          </w:p>
        </w:tc>
      </w:tr>
      <w:tr>
        <w:tc>
          <w:tcPr>
            <w:tcW w:type="pct" w:w="28%"/>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b/>
                <w:bCs/>
                <w:color w:val="111827"/>
                <w:sz w:val="20"/>
                <w:szCs w:val="20"/>
              </w:rPr>
              <w:t xml:space="preserve">Effective date</w:t>
            </w:r>
          </w:p>
        </w:tc>
        <w:tc>
          <w:tcPr>
            <w:tcW w:type="pct" w:w="72%"/>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color w:val="4B5563"/>
                <w:sz w:val="20"/>
                <w:szCs w:val="20"/>
              </w:rPr>
              <w:t xml:space="preserve">[DD Month YYYY]</w:t>
            </w:r>
          </w:p>
        </w:tc>
      </w:tr>
      <w:tr>
        <w:tc>
          <w:tcPr>
            <w:tcW w:type="pct" w:w="28%"/>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b/>
                <w:bCs/>
                <w:color w:val="111827"/>
                <w:sz w:val="20"/>
                <w:szCs w:val="20"/>
              </w:rPr>
              <w:t xml:space="preserve">Next review</w:t>
            </w:r>
          </w:p>
        </w:tc>
        <w:tc>
          <w:tcPr>
            <w:tcW w:type="pct" w:w="72%"/>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color w:val="4B5563"/>
                <w:sz w:val="20"/>
                <w:szCs w:val="20"/>
              </w:rPr>
              <w:t xml:space="preserve">[DD Month YYYY — review at least annually]</w:t>
            </w:r>
          </w:p>
        </w:tc>
      </w:tr>
    </w:tbl>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59E0B" w:sz="6"/>
              <w:left w:val="single" w:color="F59E0B" w:sz="18"/>
              <w:bottom w:val="single" w:color="F59E0B" w:sz="6"/>
              <w:right w:val="single" w:color="F59E0B" w:sz="6"/>
            </w:tcBorders>
            <w:shd w:fill="FFFBEB" w:val="clear"/>
            <w:tcMar>
              <w:top w:type="dxa" w:w="100"/>
              <w:left w:type="dxa" w:w="140"/>
              <w:bottom w:type="dxa" w:w="100"/>
              <w:right w:type="dxa" w:w="140"/>
            </w:tcMar>
          </w:tcPr>
          <w:p>
            <w:pPr>
              <w:spacing w:after="60"/>
            </w:pPr>
            <w:r>
              <w:rPr>
                <w:b/>
                <w:bCs/>
                <w:color w:val="92400E"/>
                <w:sz w:val="19"/>
                <w:szCs w:val="19"/>
              </w:rPr>
              <w:t xml:space="preserve">Customization required</w:t>
            </w:r>
          </w:p>
          <w:p>
            <w:r>
              <w:rPr>
                <w:color w:val="4B5563"/>
                <w:sz w:val="18"/>
                <w:szCs w:val="18"/>
              </w:rPr>
              <w:t xml:space="preserve">This template is a starting point published by the OpenDLP-LK community. Replace all bracketed placeholders, adapt the content to your organization’s size, industry and risk profile, and obtain legal review before adoption. Aligned with Sri Lanka’s Personal Data Protection Act (PDPA) No. 9 of 2022.</w:t>
            </w:r>
          </w:p>
        </w:tc>
      </w:tr>
    </w:tbl>
    <w:p>
      <w:pPr>
        <w:spacing w:after="160"/>
      </w:pPr>
    </w:p>
    <w:p>
      <w:pPr>
        <w:spacing w:before="600"/>
        <w:jc w:val="center"/>
      </w:pPr>
      <w:r>
        <w:rPr>
          <w:color w:val="9CA3AF"/>
          <w:sz w:val="16"/>
          <w:szCs w:val="16"/>
        </w:rPr>
        <w:t xml:space="preserve">https://opendlp-lk.github.io • Licensed under MIT — free to use, adapt and redistribute.</w:t>
      </w:r>
    </w:p>
    <w:p>
      <w:r>
        <w:br w:type="page"/>
      </w:r>
    </w:p>
    <w:p>
      <w:pPr>
        <w:pStyle w:val="Heading1"/>
        <w:pBdr>
          <w:bottom w:val="single" w:color="DC2626" w:sz="8" w:space="4"/>
        </w:pBdr>
        <w:spacing w:after="200" w:before="360"/>
      </w:pPr>
      <w:r>
        <w:rPr>
          <w:b/>
          <w:bCs/>
          <w:color w:val="DC2626"/>
          <w:sz w:val="32"/>
          <w:szCs w:val="32"/>
        </w:rPr>
        <w:t xml:space="preserve">1. Purpose and Scope</w:t>
      </w:r>
    </w:p>
    <w:p>
      <w:pPr>
        <w:spacing w:after="140" w:line="276"/>
      </w:pPr>
      <w:r>
        <w:rPr>
          <w:color w:val="4B5563"/>
          <w:sz w:val="20"/>
          <w:szCs w:val="20"/>
        </w:rPr>
        <w:t xml:space="preserve">This plan defines how [Organization Name] detects, contains, investigates, reports and recovers from incidents involving unauthorized access to, disclosure of, or loss of organizational or personal data. It applies to all personnel and all systems processing organizational data, and implements the breach notification obligations of PDPA Section 23.</w:t>
      </w:r>
    </w:p>
    <w:p>
      <w:pPr>
        <w:pStyle w:val="Heading1"/>
        <w:pBdr>
          <w:bottom w:val="single" w:color="DC2626" w:sz="8" w:space="4"/>
        </w:pBdr>
        <w:spacing w:after="200" w:before="360"/>
      </w:pPr>
      <w:r>
        <w:rPr>
          <w:b/>
          <w:bCs/>
          <w:color w:val="DC2626"/>
          <w:sz w:val="32"/>
          <w:szCs w:val="32"/>
        </w:rPr>
        <w:t xml:space="preserve">2. Incident Response Team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tcBorders>
              <w:top w:val="single" w:color="D1D5DB" w:sz="4"/>
              <w:left w:val="single" w:color="D1D5DB" w:sz="4"/>
              <w:bottom w:val="single" w:color="D1D5DB" w:sz="4"/>
              <w:right w:val="single" w:color="D1D5DB" w:sz="4"/>
            </w:tcBorders>
            <w:shd w:fill="DC2626" w:val="clear"/>
            <w:tcMar>
              <w:top w:type="dxa" w:w="60"/>
              <w:left w:type="dxa" w:w="100"/>
              <w:bottom w:type="dxa" w:w="60"/>
              <w:right w:type="dxa" w:w="100"/>
            </w:tcMar>
          </w:tcPr>
          <w:p>
            <w:r>
              <w:rPr>
                <w:b/>
                <w:bCs/>
                <w:color w:val="FFFFFF"/>
                <w:sz w:val="17"/>
                <w:szCs w:val="17"/>
              </w:rPr>
              <w:t xml:space="preserve">Role</w:t>
            </w:r>
          </w:p>
        </w:tc>
        <w:tc>
          <w:tcPr>
            <w:tcW w:type="pct" w:w="28%"/>
            <w:tcBorders>
              <w:top w:val="single" w:color="D1D5DB" w:sz="4"/>
              <w:left w:val="single" w:color="D1D5DB" w:sz="4"/>
              <w:bottom w:val="single" w:color="D1D5DB" w:sz="4"/>
              <w:right w:val="single" w:color="D1D5DB" w:sz="4"/>
            </w:tcBorders>
            <w:shd w:fill="DC2626" w:val="clear"/>
            <w:tcMar>
              <w:top w:type="dxa" w:w="60"/>
              <w:left w:type="dxa" w:w="100"/>
              <w:bottom w:type="dxa" w:w="60"/>
              <w:right w:type="dxa" w:w="100"/>
            </w:tcMar>
          </w:tcPr>
          <w:p>
            <w:r>
              <w:rPr>
                <w:b/>
                <w:bCs/>
                <w:color w:val="FFFFFF"/>
                <w:sz w:val="17"/>
                <w:szCs w:val="17"/>
              </w:rPr>
              <w:t xml:space="preserve">Name / Contact</w:t>
            </w:r>
          </w:p>
        </w:tc>
        <w:tc>
          <w:tcPr>
            <w:tcW w:type="pct" w:w="47%"/>
            <w:tcBorders>
              <w:top w:val="single" w:color="D1D5DB" w:sz="4"/>
              <w:left w:val="single" w:color="D1D5DB" w:sz="4"/>
              <w:bottom w:val="single" w:color="D1D5DB" w:sz="4"/>
              <w:right w:val="single" w:color="D1D5DB" w:sz="4"/>
            </w:tcBorders>
            <w:shd w:fill="DC2626" w:val="clear"/>
            <w:tcMar>
              <w:top w:type="dxa" w:w="60"/>
              <w:left w:type="dxa" w:w="100"/>
              <w:bottom w:type="dxa" w:w="60"/>
              <w:right w:type="dxa" w:w="100"/>
            </w:tcMar>
          </w:tcPr>
          <w:p>
            <w:r>
              <w:rPr>
                <w:b/>
                <w:bCs/>
                <w:color w:val="FFFFFF"/>
                <w:sz w:val="17"/>
                <w:szCs w:val="17"/>
              </w:rPr>
              <w:t xml:space="preserve">Responsibilities</w:t>
            </w:r>
          </w:p>
        </w:tc>
      </w:tr>
      <w:tr>
        <w:tc>
          <w:tcPr>
            <w:tcW w:type="pct" w:w="25%"/>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Incident Response Lead</w:t>
            </w:r>
          </w:p>
        </w:tc>
        <w:tc>
          <w:tcPr>
            <w:tcW w:type="pct" w:w="28%"/>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[name, phone, email]</w:t>
            </w:r>
          </w:p>
        </w:tc>
        <w:tc>
          <w:tcPr>
            <w:tcW w:type="pct" w:w="47%"/>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Declares incidents, coordinates response, approves communications.</w:t>
            </w:r>
          </w:p>
        </w:tc>
      </w:tr>
      <w:tr>
        <w:tc>
          <w:tcPr>
            <w:tcW w:type="pct" w:w="25%"/>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Data Protection Officer</w:t>
            </w:r>
          </w:p>
        </w:tc>
        <w:tc>
          <w:tcPr>
            <w:tcW w:type="pct" w:w="2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[name, phone, email]</w:t>
            </w:r>
          </w:p>
        </w:tc>
        <w:tc>
          <w:tcPr>
            <w:tcW w:type="pct" w:w="47%"/>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Assesses PDPA impact; notifies the Data Protection Authority and data subjects.</w:t>
            </w:r>
          </w:p>
        </w:tc>
      </w:tr>
      <w:tr>
        <w:tc>
          <w:tcPr>
            <w:tcW w:type="pct" w:w="25%"/>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IT Security Analyst</w:t>
            </w:r>
          </w:p>
        </w:tc>
        <w:tc>
          <w:tcPr>
            <w:tcW w:type="pct" w:w="28%"/>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[name, phone, email]</w:t>
            </w:r>
          </w:p>
        </w:tc>
        <w:tc>
          <w:tcPr>
            <w:tcW w:type="pct" w:w="47%"/>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Technical investigation, containment, evidence preservation.</w:t>
            </w:r>
          </w:p>
        </w:tc>
      </w:tr>
      <w:tr>
        <w:tc>
          <w:tcPr>
            <w:tcW w:type="pct" w:w="25%"/>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Legal Counsel</w:t>
            </w:r>
          </w:p>
        </w:tc>
        <w:tc>
          <w:tcPr>
            <w:tcW w:type="pct" w:w="2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[name, phone, email]</w:t>
            </w:r>
          </w:p>
        </w:tc>
        <w:tc>
          <w:tcPr>
            <w:tcW w:type="pct" w:w="47%"/>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Legal exposure assessment; regulator and law-enforcement liaison.</w:t>
            </w:r>
          </w:p>
        </w:tc>
      </w:tr>
      <w:tr>
        <w:tc>
          <w:tcPr>
            <w:tcW w:type="pct" w:w="25%"/>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HR Representative</w:t>
            </w:r>
          </w:p>
        </w:tc>
        <w:tc>
          <w:tcPr>
            <w:tcW w:type="pct" w:w="28%"/>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[name, phone, email]</w:t>
            </w:r>
          </w:p>
        </w:tc>
        <w:tc>
          <w:tcPr>
            <w:tcW w:type="pct" w:w="47%"/>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Insider-related incidents; disciplinary process.</w:t>
            </w:r>
          </w:p>
        </w:tc>
      </w:tr>
      <w:tr>
        <w:tc>
          <w:tcPr>
            <w:tcW w:type="pct" w:w="25%"/>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Communications / PR</w:t>
            </w:r>
          </w:p>
        </w:tc>
        <w:tc>
          <w:tcPr>
            <w:tcW w:type="pct" w:w="2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[name, phone, email]</w:t>
            </w:r>
          </w:p>
        </w:tc>
        <w:tc>
          <w:tcPr>
            <w:tcW w:type="pct" w:w="47%"/>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Internal and external messaging; media handling.</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C2626" w:sz="6"/>
              <w:left w:val="single" w:color="DC2626" w:sz="18"/>
              <w:bottom w:val="single" w:color="DC2626" w:sz="6"/>
              <w:right w:val="single" w:color="DC2626" w:sz="6"/>
            </w:tcBorders>
            <w:shd w:fill="F0F9FF" w:val="clear"/>
            <w:tcMar>
              <w:top w:type="dxa" w:w="100"/>
              <w:left w:type="dxa" w:w="140"/>
              <w:bottom w:type="dxa" w:w="100"/>
              <w:right w:type="dxa" w:w="140"/>
            </w:tcMar>
          </w:tcPr>
          <w:p>
            <w:pPr>
              <w:spacing w:after="60"/>
            </w:pPr>
            <w:r>
              <w:rPr>
                <w:b/>
                <w:bCs/>
                <w:color w:val="DC2626"/>
                <w:sz w:val="19"/>
                <w:szCs w:val="19"/>
              </w:rPr>
              <w:t xml:space="preserve">24/7 reporting channel</w:t>
            </w:r>
          </w:p>
          <w:p>
            <w:r>
              <w:rPr>
                <w:color w:val="4B5563"/>
                <w:sz w:val="18"/>
                <w:szCs w:val="18"/>
              </w:rPr>
              <w:t xml:space="preserve">All personnel must report suspected incidents immediately to [security@organization.lk] or hotline [+94 XX XXX XXXX]. Do not attempt to investigate or remediate on your own — you may destroy evidence.</w:t>
            </w:r>
          </w:p>
        </w:tc>
      </w:tr>
    </w:tbl>
    <w:p>
      <w:pPr>
        <w:spacing w:after="160"/>
      </w:pPr>
    </w:p>
    <w:p>
      <w:pPr>
        <w:pStyle w:val="Heading1"/>
        <w:pBdr>
          <w:bottom w:val="single" w:color="DC2626" w:sz="8" w:space="4"/>
        </w:pBdr>
        <w:spacing w:after="200" w:before="360"/>
      </w:pPr>
      <w:r>
        <w:rPr>
          <w:b/>
          <w:bCs/>
          <w:color w:val="DC2626"/>
          <w:sz w:val="32"/>
          <w:szCs w:val="32"/>
        </w:rPr>
        <w:t xml:space="preserve">3. Severity Classification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5%"/>
            <w:tcBorders>
              <w:top w:val="single" w:color="D1D5DB" w:sz="4"/>
              <w:left w:val="single" w:color="D1D5DB" w:sz="4"/>
              <w:bottom w:val="single" w:color="D1D5DB" w:sz="4"/>
              <w:right w:val="single" w:color="D1D5DB" w:sz="4"/>
            </w:tcBorders>
            <w:shd w:fill="DC2626" w:val="clear"/>
            <w:tcMar>
              <w:top w:type="dxa" w:w="60"/>
              <w:left w:type="dxa" w:w="100"/>
              <w:bottom w:type="dxa" w:w="60"/>
              <w:right w:type="dxa" w:w="100"/>
            </w:tcMar>
          </w:tcPr>
          <w:p>
            <w:r>
              <w:rPr>
                <w:b/>
                <w:bCs/>
                <w:color w:val="FFFFFF"/>
                <w:sz w:val="17"/>
                <w:szCs w:val="17"/>
              </w:rPr>
              <w:t xml:space="preserve">Level</w:t>
            </w:r>
          </w:p>
        </w:tc>
        <w:tc>
          <w:tcPr>
            <w:tcW w:type="pct" w:w="44%"/>
            <w:tcBorders>
              <w:top w:val="single" w:color="D1D5DB" w:sz="4"/>
              <w:left w:val="single" w:color="D1D5DB" w:sz="4"/>
              <w:bottom w:val="single" w:color="D1D5DB" w:sz="4"/>
              <w:right w:val="single" w:color="D1D5DB" w:sz="4"/>
            </w:tcBorders>
            <w:shd w:fill="DC2626" w:val="clear"/>
            <w:tcMar>
              <w:top w:type="dxa" w:w="60"/>
              <w:left w:type="dxa" w:w="100"/>
              <w:bottom w:type="dxa" w:w="60"/>
              <w:right w:type="dxa" w:w="100"/>
            </w:tcMar>
          </w:tcPr>
          <w:p>
            <w:r>
              <w:rPr>
                <w:b/>
                <w:bCs/>
                <w:color w:val="FFFFFF"/>
                <w:sz w:val="17"/>
                <w:szCs w:val="17"/>
              </w:rPr>
              <w:t xml:space="preserve">Criteria</w:t>
            </w:r>
          </w:p>
        </w:tc>
        <w:tc>
          <w:tcPr>
            <w:tcW w:type="pct" w:w="17%"/>
            <w:tcBorders>
              <w:top w:val="single" w:color="D1D5DB" w:sz="4"/>
              <w:left w:val="single" w:color="D1D5DB" w:sz="4"/>
              <w:bottom w:val="single" w:color="D1D5DB" w:sz="4"/>
              <w:right w:val="single" w:color="D1D5DB" w:sz="4"/>
            </w:tcBorders>
            <w:shd w:fill="DC2626" w:val="clear"/>
            <w:tcMar>
              <w:top w:type="dxa" w:w="60"/>
              <w:left w:type="dxa" w:w="100"/>
              <w:bottom w:type="dxa" w:w="60"/>
              <w:right w:type="dxa" w:w="100"/>
            </w:tcMar>
          </w:tcPr>
          <w:p>
            <w:r>
              <w:rPr>
                <w:b/>
                <w:bCs/>
                <w:color w:val="FFFFFF"/>
                <w:sz w:val="17"/>
                <w:szCs w:val="17"/>
              </w:rPr>
              <w:t xml:space="preserve">Response time</w:t>
            </w:r>
          </w:p>
        </w:tc>
        <w:tc>
          <w:tcPr>
            <w:tcW w:type="pct" w:w="24%"/>
            <w:tcBorders>
              <w:top w:val="single" w:color="D1D5DB" w:sz="4"/>
              <w:left w:val="single" w:color="D1D5DB" w:sz="4"/>
              <w:bottom w:val="single" w:color="D1D5DB" w:sz="4"/>
              <w:right w:val="single" w:color="D1D5DB" w:sz="4"/>
            </w:tcBorders>
            <w:shd w:fill="DC2626" w:val="clear"/>
            <w:tcMar>
              <w:top w:type="dxa" w:w="60"/>
              <w:left w:type="dxa" w:w="100"/>
              <w:bottom w:type="dxa" w:w="60"/>
              <w:right w:type="dxa" w:w="100"/>
            </w:tcMar>
          </w:tcPr>
          <w:p>
            <w:r>
              <w:rPr>
                <w:b/>
                <w:bCs/>
                <w:color w:val="FFFFFF"/>
                <w:sz w:val="17"/>
                <w:szCs w:val="17"/>
              </w:rPr>
              <w:t xml:space="preserve">Escalation</w:t>
            </w:r>
          </w:p>
        </w:tc>
      </w:tr>
      <w:tr>
        <w:tc>
          <w:tcPr>
            <w:tcW w:type="pct" w:w="15%"/>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Critical</w:t>
            </w:r>
          </w:p>
        </w:tc>
        <w:tc>
          <w:tcPr>
            <w:tcW w:type="pct" w:w="44%"/>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Confirmed exposure of Restricted/special-category personal data; large-scale exfiltration; regulatory notification likely.</w:t>
            </w:r>
          </w:p>
        </w:tc>
        <w:tc>
          <w:tcPr>
            <w:tcW w:type="pct" w:w="17%"/>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Immediate</w:t>
            </w:r>
          </w:p>
        </w:tc>
        <w:tc>
          <w:tcPr>
            <w:tcW w:type="pct" w:w="24%"/>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CEO, DPO, Legal, full IRT</w:t>
            </w:r>
          </w:p>
        </w:tc>
      </w:tr>
      <w:tr>
        <w:tc>
          <w:tcPr>
            <w:tcW w:type="pct" w:w="15%"/>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High</w:t>
            </w:r>
          </w:p>
        </w:tc>
        <w:tc>
          <w:tcPr>
            <w:tcW w:type="pct" w:w="44%"/>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Confirmed exposure of Confidential data; single-system compromise with sensitive data at risk.</w:t>
            </w:r>
          </w:p>
        </w:tc>
        <w:tc>
          <w:tcPr>
            <w:tcW w:type="pct" w:w="17%"/>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&lt; 2 hours</w:t>
            </w:r>
          </w:p>
        </w:tc>
        <w:tc>
          <w:tcPr>
            <w:tcW w:type="pct" w:w="24%"/>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IRT Lead, DPO</w:t>
            </w:r>
          </w:p>
        </w:tc>
      </w:tr>
      <w:tr>
        <w:tc>
          <w:tcPr>
            <w:tcW w:type="pct" w:w="15%"/>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Medium</w:t>
            </w:r>
          </w:p>
        </w:tc>
        <w:tc>
          <w:tcPr>
            <w:tcW w:type="pct" w:w="44%"/>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Policy violation with possible exposure; lost encrypted device; blocked exfiltration attempt.</w:t>
            </w:r>
          </w:p>
        </w:tc>
        <w:tc>
          <w:tcPr>
            <w:tcW w:type="pct" w:w="17%"/>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&lt; 8 hours</w:t>
            </w:r>
          </w:p>
        </w:tc>
        <w:tc>
          <w:tcPr>
            <w:tcW w:type="pct" w:w="24%"/>
            <w:tcBorders>
              <w:top w:val="single" w:color="D1D5DB" w:sz="4"/>
              <w:left w:val="single" w:color="D1D5DB" w:sz="4"/>
              <w:bottom w:val="single" w:color="D1D5DB" w:sz="4"/>
              <w:right w:val="single" w:color="D1D5DB" w:sz="4"/>
            </w:tcBorders>
            <w:shd w:fill="FFFFFF" w:val="clear"/>
            <w:tcMar>
              <w:top w:type="dxa" w:w="60"/>
              <w:left w:type="dxa" w:w="100"/>
              <w:bottom w:type="dxa" w:w="60"/>
              <w:right w:type="dxa" w:w="100"/>
            </w:tcMar>
          </w:tcPr>
          <w:p>
            <w:r>
              <w:rPr>
                <w:b w:val="false"/>
                <w:bCs w:val="false"/>
                <w:color w:val="4B5563"/>
                <w:sz w:val="17"/>
                <w:szCs w:val="17"/>
              </w:rPr>
              <w:t xml:space="preserve">IT Security</w:t>
            </w:r>
          </w:p>
        </w:tc>
      </w:tr>
      <w:tr>
        <w:tc>
          <w:tcPr>
            <w:tcW w:type="pct" w:w="15%"/>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Low</w:t>
            </w:r>
          </w:p>
        </w:tc>
        <w:tc>
          <w:tcPr>
            <w:tcW w:type="pct" w:w="44%"/>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Minor violation, no evidence of exposure; false-positive-heavy alert cluster requiring tuning.</w:t>
            </w:r>
          </w:p>
        </w:tc>
        <w:tc>
          <w:tcPr>
            <w:tcW w:type="pct" w:w="17%"/>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&lt; 24 hours</w:t>
            </w:r>
          </w:p>
        </w:tc>
        <w:tc>
          <w:tcPr>
            <w:tcW w:type="pct" w:w="24%"/>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r>
              <w:rPr>
                <w:b w:val="false"/>
                <w:bCs w:val="false"/>
                <w:color w:val="4B5563"/>
                <w:sz w:val="17"/>
                <w:szCs w:val="17"/>
              </w:rPr>
              <w:t xml:space="preserve">DLP administrator</w:t>
            </w:r>
          </w:p>
        </w:tc>
      </w:tr>
    </w:tbl>
    <w:p>
      <w:pPr>
        <w:spacing w:after="160"/>
      </w:pPr>
    </w:p>
    <w:p>
      <w:pPr>
        <w:pStyle w:val="Heading1"/>
        <w:pBdr>
          <w:bottom w:val="single" w:color="DC2626" w:sz="8" w:space="4"/>
        </w:pBdr>
        <w:spacing w:after="200" w:before="360"/>
      </w:pPr>
      <w:r>
        <w:rPr>
          <w:b/>
          <w:bCs/>
          <w:color w:val="DC2626"/>
          <w:sz w:val="32"/>
          <w:szCs w:val="32"/>
        </w:rPr>
        <w:t xml:space="preserve">4. Response Phases</w:t>
      </w:r>
    </w:p>
    <w:p>
      <w:pPr>
        <w:pStyle w:val="Heading2"/>
        <w:spacing w:after="120" w:before="240"/>
      </w:pPr>
      <w:r>
        <w:rPr>
          <w:b/>
          <w:bCs/>
          <w:color w:val="111827"/>
          <w:sz w:val="25"/>
          <w:szCs w:val="25"/>
        </w:rPr>
        <w:t xml:space="preserve">Phase 1 — Detection &amp; Identification (0–2 hours)</w:t>
      </w:r>
    </w:p>
    <w:p>
      <w:pPr>
        <w:spacing w:after="80" w:line="260"/>
        <w:ind w:left="240"/>
      </w:pPr>
      <w:r>
        <w:rPr>
          <w:color w:val="4B5563"/>
          <w:sz w:val="22"/>
          <w:szCs w:val="22"/>
        </w:rPr>
        <w:t xml:space="preserve">☐  </w:t>
      </w:r>
      <w:r>
        <w:rPr>
          <w:color w:val="4B5563"/>
          <w:sz w:val="20"/>
          <w:szCs w:val="20"/>
        </w:rPr>
        <w:t xml:space="preserve">Record date/time of detection and detection source (DLP alert, user report, third party).</w:t>
      </w:r>
    </w:p>
    <w:p>
      <w:pPr>
        <w:spacing w:after="80" w:line="260"/>
        <w:ind w:left="240"/>
      </w:pPr>
      <w:r>
        <w:rPr>
          <w:color w:val="4B5563"/>
          <w:sz w:val="22"/>
          <w:szCs w:val="22"/>
        </w:rPr>
        <w:t xml:space="preserve">☐  </w:t>
      </w:r>
      <w:r>
        <w:rPr>
          <w:color w:val="4B5563"/>
          <w:sz w:val="20"/>
          <w:szCs w:val="20"/>
        </w:rPr>
        <w:t xml:space="preserve">Identify affected systems, data types and estimated number of records/data subjects.</w:t>
      </w:r>
    </w:p>
    <w:p>
      <w:pPr>
        <w:spacing w:after="80" w:line="260"/>
        <w:ind w:left="240"/>
      </w:pPr>
      <w:r>
        <w:rPr>
          <w:color w:val="4B5563"/>
          <w:sz w:val="22"/>
          <w:szCs w:val="22"/>
        </w:rPr>
        <w:t xml:space="preserve">☐  </w:t>
      </w:r>
      <w:r>
        <w:rPr>
          <w:color w:val="4B5563"/>
          <w:sz w:val="20"/>
          <w:szCs w:val="20"/>
        </w:rPr>
        <w:t xml:space="preserve">Classify severity using the matrix in Section 3.</w:t>
      </w:r>
    </w:p>
    <w:p>
      <w:pPr>
        <w:spacing w:after="80" w:line="260"/>
        <w:ind w:left="240"/>
      </w:pPr>
      <w:r>
        <w:rPr>
          <w:color w:val="4B5563"/>
          <w:sz w:val="22"/>
          <w:szCs w:val="22"/>
        </w:rPr>
        <w:t xml:space="preserve">☐  </w:t>
      </w:r>
      <w:r>
        <w:rPr>
          <w:color w:val="4B5563"/>
          <w:sz w:val="20"/>
          <w:szCs w:val="20"/>
        </w:rPr>
        <w:t xml:space="preserve">Open an incident record and assign an incident ID (IR-YYYY-NNN).</w:t>
      </w:r>
    </w:p>
    <w:p>
      <w:pPr>
        <w:spacing w:after="80" w:line="260"/>
        <w:ind w:left="240"/>
      </w:pPr>
      <w:r>
        <w:rPr>
          <w:color w:val="4B5563"/>
          <w:sz w:val="22"/>
          <w:szCs w:val="22"/>
        </w:rPr>
        <w:t xml:space="preserve">☐  </w:t>
      </w:r>
      <w:r>
        <w:rPr>
          <w:color w:val="4B5563"/>
          <w:sz w:val="20"/>
          <w:szCs w:val="20"/>
        </w:rPr>
        <w:t xml:space="preserve">Notify the Incident Response Lead.</w:t>
      </w:r>
    </w:p>
    <w:p>
      <w:pPr>
        <w:spacing w:after="60"/>
      </w:pPr>
    </w:p>
    <w:p>
      <w:pPr>
        <w:pStyle w:val="Heading2"/>
        <w:spacing w:after="120" w:before="240"/>
      </w:pPr>
      <w:r>
        <w:rPr>
          <w:b/>
          <w:bCs/>
          <w:color w:val="111827"/>
          <w:sz w:val="25"/>
          <w:szCs w:val="25"/>
        </w:rPr>
        <w:t xml:space="preserve">Phase 2 — Containment (2–4 hours)</w:t>
      </w:r>
    </w:p>
    <w:p>
      <w:pPr>
        <w:spacing w:after="80" w:line="260"/>
        <w:ind w:left="240"/>
      </w:pPr>
      <w:r>
        <w:rPr>
          <w:color w:val="4B5563"/>
          <w:sz w:val="22"/>
          <w:szCs w:val="22"/>
        </w:rPr>
        <w:t xml:space="preserve">☐  </w:t>
      </w:r>
      <w:r>
        <w:rPr>
          <w:color w:val="4B5563"/>
          <w:sz w:val="20"/>
          <w:szCs w:val="20"/>
        </w:rPr>
        <w:t xml:space="preserve">Isolate affected systems from the network (do not power off unless directed — preserve memory evidence).</w:t>
      </w:r>
    </w:p>
    <w:p>
      <w:pPr>
        <w:spacing w:after="80" w:line="260"/>
        <w:ind w:left="240"/>
      </w:pPr>
      <w:r>
        <w:rPr>
          <w:color w:val="4B5563"/>
          <w:sz w:val="22"/>
          <w:szCs w:val="22"/>
        </w:rPr>
        <w:t xml:space="preserve">☐  </w:t>
      </w:r>
      <w:r>
        <w:rPr>
          <w:color w:val="4B5563"/>
          <w:sz w:val="20"/>
          <w:szCs w:val="20"/>
        </w:rPr>
        <w:t xml:space="preserve">Disable compromised accounts and revoke exposed credentials/tokens.</w:t>
      </w:r>
    </w:p>
    <w:p>
      <w:pPr>
        <w:spacing w:after="80" w:line="260"/>
        <w:ind w:left="240"/>
      </w:pPr>
      <w:r>
        <w:rPr>
          <w:color w:val="4B5563"/>
          <w:sz w:val="22"/>
          <w:szCs w:val="22"/>
        </w:rPr>
        <w:t xml:space="preserve">☐  </w:t>
      </w:r>
      <w:r>
        <w:rPr>
          <w:color w:val="4B5563"/>
          <w:sz w:val="20"/>
          <w:szCs w:val="20"/>
        </w:rPr>
        <w:t xml:space="preserve">Block relevant channels (email rule, USB block, cloud share revocation).</w:t>
      </w:r>
    </w:p>
    <w:p>
      <w:pPr>
        <w:spacing w:after="80" w:line="260"/>
        <w:ind w:left="240"/>
      </w:pPr>
      <w:r>
        <w:rPr>
          <w:color w:val="4B5563"/>
          <w:sz w:val="22"/>
          <w:szCs w:val="22"/>
        </w:rPr>
        <w:t xml:space="preserve">☐  </w:t>
      </w:r>
      <w:r>
        <w:rPr>
          <w:color w:val="4B5563"/>
          <w:sz w:val="20"/>
          <w:szCs w:val="20"/>
        </w:rPr>
        <w:t xml:space="preserve">Preserve logs, disk images and DLP alert records; start chain-of-custody form.</w:t>
      </w:r>
    </w:p>
    <w:p>
      <w:pPr>
        <w:spacing w:after="80" w:line="260"/>
        <w:ind w:left="240"/>
      </w:pPr>
      <w:r>
        <w:rPr>
          <w:color w:val="4B5563"/>
          <w:sz w:val="22"/>
          <w:szCs w:val="22"/>
        </w:rPr>
        <w:t xml:space="preserve">☐  </w:t>
      </w:r>
      <w:r>
        <w:rPr>
          <w:color w:val="4B5563"/>
          <w:sz w:val="20"/>
          <w:szCs w:val="20"/>
        </w:rPr>
        <w:t xml:space="preserve">Activate incident response team per severity.</w:t>
      </w:r>
    </w:p>
    <w:p>
      <w:pPr>
        <w:spacing w:after="60"/>
      </w:pPr>
    </w:p>
    <w:p>
      <w:pPr>
        <w:pStyle w:val="Heading2"/>
        <w:spacing w:after="120" w:before="240"/>
      </w:pPr>
      <w:r>
        <w:rPr>
          <w:b/>
          <w:bCs/>
          <w:color w:val="111827"/>
          <w:sz w:val="25"/>
          <w:szCs w:val="25"/>
        </w:rPr>
        <w:t xml:space="preserve">Phase 3 — Investigation (4–24 hours)</w:t>
      </w:r>
    </w:p>
    <w:p>
      <w:pPr>
        <w:spacing w:after="80" w:line="260"/>
        <w:ind w:left="240"/>
      </w:pPr>
      <w:r>
        <w:rPr>
          <w:color w:val="4B5563"/>
          <w:sz w:val="22"/>
          <w:szCs w:val="22"/>
        </w:rPr>
        <w:t xml:space="preserve">☐  </w:t>
      </w:r>
      <w:r>
        <w:rPr>
          <w:color w:val="4B5563"/>
          <w:sz w:val="20"/>
          <w:szCs w:val="20"/>
        </w:rPr>
        <w:t xml:space="preserve">Determine root cause (attack vector, insider action, misconfiguration, error).</w:t>
      </w:r>
    </w:p>
    <w:p>
      <w:pPr>
        <w:spacing w:after="80" w:line="260"/>
        <w:ind w:left="240"/>
      </w:pPr>
      <w:r>
        <w:rPr>
          <w:color w:val="4B5563"/>
          <w:sz w:val="22"/>
          <w:szCs w:val="22"/>
        </w:rPr>
        <w:t xml:space="preserve">☐  </w:t>
      </w:r>
      <w:r>
        <w:rPr>
          <w:color w:val="4B5563"/>
          <w:sz w:val="20"/>
          <w:szCs w:val="20"/>
        </w:rPr>
        <w:t xml:space="preserve">Identify exactly what data was accessed, disclosed or lost, and for how long.</w:t>
      </w:r>
    </w:p>
    <w:p>
      <w:pPr>
        <w:spacing w:after="80" w:line="260"/>
        <w:ind w:left="240"/>
      </w:pPr>
      <w:r>
        <w:rPr>
          <w:color w:val="4B5563"/>
          <w:sz w:val="22"/>
          <w:szCs w:val="22"/>
        </w:rPr>
        <w:t xml:space="preserve">☐  </w:t>
      </w:r>
      <w:r>
        <w:rPr>
          <w:color w:val="4B5563"/>
          <w:sz w:val="20"/>
          <w:szCs w:val="20"/>
        </w:rPr>
        <w:t xml:space="preserve">Assess likelihood of harm to data subjects (identity theft, fraud, discrimination, reputational damage).</w:t>
      </w:r>
    </w:p>
    <w:p>
      <w:pPr>
        <w:spacing w:after="80" w:line="260"/>
        <w:ind w:left="240"/>
      </w:pPr>
      <w:r>
        <w:rPr>
          <w:color w:val="4B5563"/>
          <w:sz w:val="22"/>
          <w:szCs w:val="22"/>
        </w:rPr>
        <w:t xml:space="preserve">☐  </w:t>
      </w:r>
      <w:r>
        <w:rPr>
          <w:color w:val="4B5563"/>
          <w:sz w:val="20"/>
          <w:szCs w:val="20"/>
        </w:rPr>
        <w:t xml:space="preserve">Determine whether personal data of Sri Lankan data subjects is involved (triggers PDPA analysis).</w:t>
      </w:r>
    </w:p>
    <w:p>
      <w:pPr>
        <w:spacing w:after="80" w:line="260"/>
        <w:ind w:left="240"/>
      </w:pPr>
      <w:r>
        <w:rPr>
          <w:color w:val="4B5563"/>
          <w:sz w:val="22"/>
          <w:szCs w:val="22"/>
        </w:rPr>
        <w:t xml:space="preserve">☐  </w:t>
      </w:r>
      <w:r>
        <w:rPr>
          <w:color w:val="4B5563"/>
          <w:sz w:val="20"/>
          <w:szCs w:val="20"/>
        </w:rPr>
        <w:t xml:space="preserve">Document findings with timestamps and evidence references.</w:t>
      </w:r>
    </w:p>
    <w:p>
      <w:pPr>
        <w:spacing w:after="60"/>
      </w:pPr>
    </w:p>
    <w:p>
      <w:pPr>
        <w:pStyle w:val="Heading2"/>
        <w:spacing w:after="120" w:before="240"/>
      </w:pPr>
      <w:r>
        <w:rPr>
          <w:b/>
          <w:bCs/>
          <w:color w:val="111827"/>
          <w:sz w:val="25"/>
          <w:szCs w:val="25"/>
        </w:rPr>
        <w:t xml:space="preserve">Phase 4 — Notification (24–72 hours)</w:t>
      </w:r>
    </w:p>
    <w:p>
      <w:pPr>
        <w:spacing w:after="80" w:line="260"/>
        <w:ind w:left="240"/>
      </w:pPr>
      <w:r>
        <w:rPr>
          <w:color w:val="4B5563"/>
          <w:sz w:val="22"/>
          <w:szCs w:val="22"/>
        </w:rPr>
        <w:t xml:space="preserve">☐  </w:t>
      </w:r>
      <w:r>
        <w:rPr>
          <w:color w:val="4B5563"/>
          <w:sz w:val="20"/>
          <w:szCs w:val="20"/>
        </w:rPr>
        <w:t xml:space="preserve">DPO determines whether the breach is notifiable to the Data Protection Authority under PDPA Section 23 and applicable rules.</w:t>
      </w:r>
    </w:p>
    <w:p>
      <w:pPr>
        <w:spacing w:after="80" w:line="260"/>
        <w:ind w:left="240"/>
      </w:pPr>
      <w:r>
        <w:rPr>
          <w:color w:val="4B5563"/>
          <w:sz w:val="22"/>
          <w:szCs w:val="22"/>
        </w:rPr>
        <w:t xml:space="preserve">☐  </w:t>
      </w:r>
      <w:r>
        <w:rPr>
          <w:color w:val="4B5563"/>
          <w:sz w:val="20"/>
          <w:szCs w:val="20"/>
        </w:rPr>
        <w:t xml:space="preserve">Submit DPA notification within the prescribed timeframe [72 hours from becoming aware, unless rules prescribe otherwise].</w:t>
      </w:r>
    </w:p>
    <w:p>
      <w:pPr>
        <w:spacing w:after="80" w:line="260"/>
        <w:ind w:left="240"/>
      </w:pPr>
      <w:r>
        <w:rPr>
          <w:color w:val="4B5563"/>
          <w:sz w:val="22"/>
          <w:szCs w:val="22"/>
        </w:rPr>
        <w:t xml:space="preserve">☐  </w:t>
      </w:r>
      <w:r>
        <w:rPr>
          <w:color w:val="4B5563"/>
          <w:sz w:val="20"/>
          <w:szCs w:val="20"/>
        </w:rPr>
        <w:t xml:space="preserve">Notify affected data subjects where there is likely risk of harm, with plain-language description and protective steps.</w:t>
      </w:r>
    </w:p>
    <w:p>
      <w:pPr>
        <w:spacing w:after="80" w:line="260"/>
        <w:ind w:left="240"/>
      </w:pPr>
      <w:r>
        <w:rPr>
          <w:color w:val="4B5563"/>
          <w:sz w:val="22"/>
          <w:szCs w:val="22"/>
        </w:rPr>
        <w:t xml:space="preserve">☐  </w:t>
      </w:r>
      <w:r>
        <w:rPr>
          <w:color w:val="4B5563"/>
          <w:sz w:val="20"/>
          <w:szCs w:val="20"/>
        </w:rPr>
        <w:t xml:space="preserve">Inform contractual parties (clients, insurers, banks) as required by agreements.</w:t>
      </w:r>
    </w:p>
    <w:p>
      <w:pPr>
        <w:spacing w:after="80" w:line="260"/>
        <w:ind w:left="240"/>
      </w:pPr>
      <w:r>
        <w:rPr>
          <w:color w:val="4B5563"/>
          <w:sz w:val="22"/>
          <w:szCs w:val="22"/>
        </w:rPr>
        <w:t xml:space="preserve">☐  </w:t>
      </w:r>
      <w:r>
        <w:rPr>
          <w:color w:val="4B5563"/>
          <w:sz w:val="20"/>
          <w:szCs w:val="20"/>
        </w:rPr>
        <w:t xml:space="preserve">Prepare holding statement and FAQ for media/customer-facing teams if public disclosure is likely.</w:t>
      </w:r>
    </w:p>
    <w:p>
      <w:pPr>
        <w:spacing w:after="60"/>
      </w:pPr>
    </w:p>
    <w:p>
      <w:pPr>
        <w:pStyle w:val="Heading2"/>
        <w:spacing w:after="120" w:before="240"/>
      </w:pPr>
      <w:r>
        <w:rPr>
          <w:b/>
          <w:bCs/>
          <w:color w:val="111827"/>
          <w:sz w:val="25"/>
          <w:szCs w:val="25"/>
        </w:rPr>
        <w:t xml:space="preserve">Phase 5 — Recovery &amp; Remediation</w:t>
      </w:r>
    </w:p>
    <w:p>
      <w:pPr>
        <w:spacing w:after="80" w:line="260"/>
        <w:ind w:left="240"/>
      </w:pPr>
      <w:r>
        <w:rPr>
          <w:color w:val="4B5563"/>
          <w:sz w:val="22"/>
          <w:szCs w:val="22"/>
        </w:rPr>
        <w:t xml:space="preserve">☐  </w:t>
      </w:r>
      <w:r>
        <w:rPr>
          <w:color w:val="4B5563"/>
          <w:sz w:val="20"/>
          <w:szCs w:val="20"/>
        </w:rPr>
        <w:t xml:space="preserve">Eradicate root cause (patch, reconfigure, remove malware, close account).</w:t>
      </w:r>
    </w:p>
    <w:p>
      <w:pPr>
        <w:spacing w:after="80" w:line="260"/>
        <w:ind w:left="240"/>
      </w:pPr>
      <w:r>
        <w:rPr>
          <w:color w:val="4B5563"/>
          <w:sz w:val="22"/>
          <w:szCs w:val="22"/>
        </w:rPr>
        <w:t xml:space="preserve">☐  </w:t>
      </w:r>
      <w:r>
        <w:rPr>
          <w:color w:val="4B5563"/>
          <w:sz w:val="20"/>
          <w:szCs w:val="20"/>
        </w:rPr>
        <w:t xml:space="preserve">Restore systems from clean backups; verify integrity before reconnection.</w:t>
      </w:r>
    </w:p>
    <w:p>
      <w:pPr>
        <w:spacing w:after="80" w:line="260"/>
        <w:ind w:left="240"/>
      </w:pPr>
      <w:r>
        <w:rPr>
          <w:color w:val="4B5563"/>
          <w:sz w:val="22"/>
          <w:szCs w:val="22"/>
        </w:rPr>
        <w:t xml:space="preserve">☐  </w:t>
      </w:r>
      <w:r>
        <w:rPr>
          <w:color w:val="4B5563"/>
          <w:sz w:val="20"/>
          <w:szCs w:val="20"/>
        </w:rPr>
        <w:t xml:space="preserve">Rotate all potentially exposed credentials and keys.</w:t>
      </w:r>
    </w:p>
    <w:p>
      <w:pPr>
        <w:spacing w:after="80" w:line="260"/>
        <w:ind w:left="240"/>
      </w:pPr>
      <w:r>
        <w:rPr>
          <w:color w:val="4B5563"/>
          <w:sz w:val="22"/>
          <w:szCs w:val="22"/>
        </w:rPr>
        <w:t xml:space="preserve">☐  </w:t>
      </w:r>
      <w:r>
        <w:rPr>
          <w:color w:val="4B5563"/>
          <w:sz w:val="20"/>
          <w:szCs w:val="20"/>
        </w:rPr>
        <w:t xml:space="preserve">Enhance DLP rules/monitoring for the exploited channel.</w:t>
      </w:r>
    </w:p>
    <w:p>
      <w:pPr>
        <w:spacing w:after="80" w:line="260"/>
        <w:ind w:left="240"/>
      </w:pPr>
      <w:r>
        <w:rPr>
          <w:color w:val="4B5563"/>
          <w:sz w:val="22"/>
          <w:szCs w:val="22"/>
        </w:rPr>
        <w:t xml:space="preserve">☐  </w:t>
      </w:r>
      <w:r>
        <w:rPr>
          <w:color w:val="4B5563"/>
          <w:sz w:val="20"/>
          <w:szCs w:val="20"/>
        </w:rPr>
        <w:t xml:space="preserve">Confirm normal operations and formally close containment.</w:t>
      </w:r>
    </w:p>
    <w:p>
      <w:pPr>
        <w:spacing w:after="60"/>
      </w:pPr>
    </w:p>
    <w:p>
      <w:pPr>
        <w:pStyle w:val="Heading2"/>
        <w:spacing w:after="120" w:before="240"/>
      </w:pPr>
      <w:r>
        <w:rPr>
          <w:b/>
          <w:bCs/>
          <w:color w:val="111827"/>
          <w:sz w:val="25"/>
          <w:szCs w:val="25"/>
        </w:rPr>
        <w:t xml:space="preserve">Phase 6 — Lessons Learned (within 2 weeks)</w:t>
      </w:r>
    </w:p>
    <w:p>
      <w:pPr>
        <w:spacing w:after="80" w:line="260"/>
        <w:ind w:left="240"/>
      </w:pPr>
      <w:r>
        <w:rPr>
          <w:color w:val="4B5563"/>
          <w:sz w:val="22"/>
          <w:szCs w:val="22"/>
        </w:rPr>
        <w:t xml:space="preserve">☐  </w:t>
      </w:r>
      <w:r>
        <w:rPr>
          <w:color w:val="4B5563"/>
          <w:sz w:val="20"/>
          <w:szCs w:val="20"/>
        </w:rPr>
        <w:t xml:space="preserve">Hold post-incident review with full timeline reconstruction.</w:t>
      </w:r>
    </w:p>
    <w:p>
      <w:pPr>
        <w:spacing w:after="80" w:line="260"/>
        <w:ind w:left="240"/>
      </w:pPr>
      <w:r>
        <w:rPr>
          <w:color w:val="4B5563"/>
          <w:sz w:val="22"/>
          <w:szCs w:val="22"/>
        </w:rPr>
        <w:t xml:space="preserve">☐  </w:t>
      </w:r>
      <w:r>
        <w:rPr>
          <w:color w:val="4B5563"/>
          <w:sz w:val="20"/>
          <w:szCs w:val="20"/>
        </w:rPr>
        <w:t xml:space="preserve">Identify control gaps and assign corrective actions with owners and due dates.</w:t>
      </w:r>
    </w:p>
    <w:p>
      <w:pPr>
        <w:spacing w:after="80" w:line="260"/>
        <w:ind w:left="240"/>
      </w:pPr>
      <w:r>
        <w:rPr>
          <w:color w:val="4B5563"/>
          <w:sz w:val="22"/>
          <w:szCs w:val="22"/>
        </w:rPr>
        <w:t xml:space="preserve">☐  </w:t>
      </w:r>
      <w:r>
        <w:rPr>
          <w:color w:val="4B5563"/>
          <w:sz w:val="20"/>
          <w:szCs w:val="20"/>
        </w:rPr>
        <w:t xml:space="preserve">Update policies, procedures and this plan as needed.</w:t>
      </w:r>
    </w:p>
    <w:p>
      <w:pPr>
        <w:spacing w:after="80" w:line="260"/>
        <w:ind w:left="240"/>
      </w:pPr>
      <w:r>
        <w:rPr>
          <w:color w:val="4B5563"/>
          <w:sz w:val="22"/>
          <w:szCs w:val="22"/>
        </w:rPr>
        <w:t xml:space="preserve">☐  </w:t>
      </w:r>
      <w:r>
        <w:rPr>
          <w:color w:val="4B5563"/>
          <w:sz w:val="20"/>
          <w:szCs w:val="20"/>
        </w:rPr>
        <w:t xml:space="preserve">Brief staff / run targeted refresher training where human error contributed.</w:t>
      </w:r>
    </w:p>
    <w:p>
      <w:pPr>
        <w:spacing w:after="80" w:line="260"/>
        <w:ind w:left="240"/>
      </w:pPr>
      <w:r>
        <w:rPr>
          <w:color w:val="4B5563"/>
          <w:sz w:val="22"/>
          <w:szCs w:val="22"/>
        </w:rPr>
        <w:t xml:space="preserve">☐  </w:t>
      </w:r>
      <w:r>
        <w:rPr>
          <w:color w:val="4B5563"/>
          <w:sz w:val="20"/>
          <w:szCs w:val="20"/>
        </w:rPr>
        <w:t xml:space="preserve">File final incident report with management and retain for [5] years.</w:t>
      </w:r>
    </w:p>
    <w:p>
      <w:pPr>
        <w:spacing w:after="60"/>
      </w:pPr>
    </w:p>
    <w:p>
      <w:pPr>
        <w:pStyle w:val="Heading1"/>
        <w:pBdr>
          <w:bottom w:val="single" w:color="DC2626" w:sz="8" w:space="4"/>
        </w:pBdr>
        <w:spacing w:after="200" w:before="360"/>
      </w:pPr>
      <w:r>
        <w:rPr>
          <w:b/>
          <w:bCs/>
          <w:color w:val="DC2626"/>
          <w:sz w:val="32"/>
          <w:szCs w:val="32"/>
        </w:rPr>
        <w:t xml:space="preserve">5. Incident Report Form</w:t>
      </w:r>
    </w:p>
    <w:p>
      <w:pPr>
        <w:tabs>
          <w:tab w:val="right" w:pos="9360" w:leader="underscore"/>
        </w:tabs>
        <w:spacing w:after="200"/>
      </w:pPr>
      <w:r>
        <w:rPr>
          <w:b/>
          <w:bCs/>
          <w:color w:val="111827"/>
          <w:sz w:val="20"/>
          <w:szCs w:val="20"/>
        </w:rPr>
        <w:t xml:space="preserve">Incident ID:  </w:t>
      </w:r>
      <w:r>
        <w:rPr>
          <w:sz w:val="20"/>
          <w:szCs w:val="20"/>
        </w:rPr>
        <w:t xml:space="preserve">	</w:t>
      </w:r>
    </w:p>
    <w:p>
      <w:pPr>
        <w:tabs>
          <w:tab w:val="right" w:pos="9360" w:leader="underscore"/>
        </w:tabs>
        <w:spacing w:after="200"/>
      </w:pPr>
      <w:r>
        <w:rPr>
          <w:b/>
          <w:bCs/>
          <w:color w:val="111827"/>
          <w:sz w:val="20"/>
          <w:szCs w:val="20"/>
        </w:rPr>
        <w:t xml:space="preserve">Date/time detected:  </w:t>
      </w:r>
      <w:r>
        <w:rPr>
          <w:sz w:val="20"/>
          <w:szCs w:val="20"/>
        </w:rPr>
        <w:t xml:space="preserve">	</w:t>
      </w:r>
    </w:p>
    <w:p>
      <w:pPr>
        <w:tabs>
          <w:tab w:val="right" w:pos="9360" w:leader="underscore"/>
        </w:tabs>
        <w:spacing w:after="200"/>
      </w:pPr>
      <w:r>
        <w:rPr>
          <w:b/>
          <w:bCs/>
          <w:color w:val="111827"/>
          <w:sz w:val="20"/>
          <w:szCs w:val="20"/>
        </w:rPr>
        <w:t xml:space="preserve">Reported by:  </w:t>
      </w:r>
      <w:r>
        <w:rPr>
          <w:sz w:val="20"/>
          <w:szCs w:val="20"/>
        </w:rPr>
        <w:t xml:space="preserve">	</w:t>
      </w:r>
    </w:p>
    <w:p>
      <w:pPr>
        <w:tabs>
          <w:tab w:val="right" w:pos="9360" w:leader="underscore"/>
        </w:tabs>
        <w:spacing w:after="200"/>
      </w:pPr>
      <w:r>
        <w:rPr>
          <w:b/>
          <w:bCs/>
          <w:color w:val="111827"/>
          <w:sz w:val="20"/>
          <w:szCs w:val="20"/>
        </w:rPr>
        <w:t xml:space="preserve">Detection source:  </w:t>
      </w:r>
      <w:r>
        <w:rPr>
          <w:sz w:val="20"/>
          <w:szCs w:val="20"/>
        </w:rPr>
        <w:t xml:space="preserve">	</w:t>
      </w:r>
    </w:p>
    <w:p>
      <w:pPr>
        <w:tabs>
          <w:tab w:val="right" w:pos="9360" w:leader="underscore"/>
        </w:tabs>
        <w:spacing w:after="200"/>
      </w:pPr>
      <w:r>
        <w:rPr>
          <w:b/>
          <w:bCs/>
          <w:color w:val="111827"/>
          <w:sz w:val="20"/>
          <w:szCs w:val="20"/>
        </w:rPr>
        <w:t xml:space="preserve">Severity (C/H/M/L):  </w:t>
      </w:r>
      <w:r>
        <w:rPr>
          <w:sz w:val="20"/>
          <w:szCs w:val="20"/>
        </w:rPr>
        <w:t xml:space="preserve">	</w:t>
      </w:r>
    </w:p>
    <w:p>
      <w:pPr>
        <w:tabs>
          <w:tab w:val="right" w:pos="9360" w:leader="underscore"/>
        </w:tabs>
        <w:spacing w:after="200"/>
      </w:pPr>
      <w:r>
        <w:rPr>
          <w:b/>
          <w:bCs/>
          <w:color w:val="111827"/>
          <w:sz w:val="20"/>
          <w:szCs w:val="20"/>
        </w:rPr>
        <w:t xml:space="preserve">Systems affected:  </w:t>
      </w:r>
      <w:r>
        <w:rPr>
          <w:sz w:val="20"/>
          <w:szCs w:val="20"/>
        </w:rPr>
        <w:t xml:space="preserve">	</w:t>
      </w:r>
    </w:p>
    <w:p>
      <w:pPr>
        <w:tabs>
          <w:tab w:val="right" w:pos="9360" w:leader="underscore"/>
        </w:tabs>
        <w:spacing w:after="200"/>
      </w:pPr>
      <w:r>
        <w:rPr>
          <w:b/>
          <w:bCs/>
          <w:color w:val="111827"/>
          <w:sz w:val="20"/>
          <w:szCs w:val="20"/>
        </w:rPr>
        <w:t xml:space="preserve">Data types involved:  </w:t>
      </w:r>
      <w:r>
        <w:rPr>
          <w:sz w:val="20"/>
          <w:szCs w:val="20"/>
        </w:rPr>
        <w:t xml:space="preserve">	</w:t>
      </w:r>
    </w:p>
    <w:p>
      <w:pPr>
        <w:tabs>
          <w:tab w:val="right" w:pos="9360" w:leader="underscore"/>
        </w:tabs>
        <w:spacing w:after="200"/>
      </w:pPr>
      <w:r>
        <w:rPr>
          <w:b/>
          <w:bCs/>
          <w:color w:val="111827"/>
          <w:sz w:val="20"/>
          <w:szCs w:val="20"/>
        </w:rPr>
        <w:t xml:space="preserve">Est. records / data subjects:  </w:t>
      </w:r>
      <w:r>
        <w:rPr>
          <w:sz w:val="20"/>
          <w:szCs w:val="20"/>
        </w:rPr>
        <w:t xml:space="preserve">	</w:t>
      </w:r>
    </w:p>
    <w:p>
      <w:pPr>
        <w:tabs>
          <w:tab w:val="right" w:pos="9360" w:leader="underscore"/>
        </w:tabs>
        <w:spacing w:after="200"/>
      </w:pPr>
      <w:r>
        <w:rPr>
          <w:b/>
          <w:bCs/>
          <w:color w:val="111827"/>
          <w:sz w:val="20"/>
          <w:szCs w:val="20"/>
        </w:rPr>
        <w:t xml:space="preserve">Personal data involved (Y/N):  </w:t>
      </w:r>
      <w:r>
        <w:rPr>
          <w:sz w:val="20"/>
          <w:szCs w:val="20"/>
        </w:rPr>
        <w:t xml:space="preserve">	</w:t>
      </w:r>
    </w:p>
    <w:p>
      <w:pPr>
        <w:tabs>
          <w:tab w:val="right" w:pos="9360" w:leader="underscore"/>
        </w:tabs>
        <w:spacing w:after="200"/>
      </w:pPr>
      <w:r>
        <w:rPr>
          <w:b/>
          <w:bCs/>
          <w:color w:val="111827"/>
          <w:sz w:val="20"/>
          <w:szCs w:val="20"/>
        </w:rPr>
        <w:t xml:space="preserve">Containment actions taken:  </w:t>
      </w:r>
      <w:r>
        <w:rPr>
          <w:sz w:val="20"/>
          <w:szCs w:val="20"/>
        </w:rPr>
        <w:t xml:space="preserve">	</w:t>
      </w:r>
    </w:p>
    <w:p>
      <w:pPr>
        <w:tabs>
          <w:tab w:val="right" w:pos="9360" w:leader="underscore"/>
        </w:tabs>
        <w:spacing w:after="200"/>
      </w:pPr>
      <w:r>
        <w:rPr>
          <w:b/>
          <w:bCs/>
          <w:color w:val="111827"/>
          <w:sz w:val="20"/>
          <w:szCs w:val="20"/>
        </w:rPr>
        <w:t xml:space="preserve">DPA notification required (Y/N):  </w:t>
      </w:r>
      <w:r>
        <w:rPr>
          <w:sz w:val="20"/>
          <w:szCs w:val="20"/>
        </w:rPr>
        <w:t xml:space="preserve">	</w:t>
      </w:r>
    </w:p>
    <w:p>
      <w:pPr>
        <w:tabs>
          <w:tab w:val="right" w:pos="9360" w:leader="underscore"/>
        </w:tabs>
        <w:spacing w:after="200"/>
      </w:pPr>
      <w:r>
        <w:rPr>
          <w:b/>
          <w:bCs/>
          <w:color w:val="111827"/>
          <w:sz w:val="20"/>
          <w:szCs w:val="20"/>
        </w:rPr>
        <w:t xml:space="preserve">Incident Lead signature:  </w:t>
      </w:r>
      <w:r>
        <w:rPr>
          <w:sz w:val="20"/>
          <w:szCs w:val="20"/>
        </w:rPr>
        <w:t xml:space="preserve">	</w:t>
      </w:r>
    </w:p>
    <w:p>
      <w:pPr>
        <w:spacing w:after="60"/>
      </w:pPr>
    </w:p>
    <w:p>
      <w:pPr>
        <w:pStyle w:val="Heading1"/>
        <w:pBdr>
          <w:bottom w:val="single" w:color="DC2626" w:sz="8" w:space="4"/>
        </w:pBdr>
        <w:spacing w:after="200" w:before="360"/>
      </w:pPr>
      <w:r>
        <w:rPr>
          <w:b/>
          <w:bCs/>
          <w:color w:val="DC2626"/>
          <w:sz w:val="32"/>
          <w:szCs w:val="32"/>
        </w:rPr>
        <w:t xml:space="preserve">6. Communication Templates</w:t>
      </w:r>
    </w:p>
    <w:p>
      <w:pPr>
        <w:pStyle w:val="Heading2"/>
        <w:spacing w:after="120" w:before="240"/>
      </w:pPr>
      <w:r>
        <w:rPr>
          <w:b/>
          <w:bCs/>
          <w:color w:val="111827"/>
          <w:sz w:val="25"/>
          <w:szCs w:val="25"/>
        </w:rPr>
        <w:t xml:space="preserve">6.1 Data Protection Authority notification (skeleton)</w:t>
      </w:r>
    </w:p>
    <w:p>
      <w:pPr>
        <w:spacing w:after="140" w:line="276"/>
      </w:pPr>
      <w:r>
        <w:rPr>
          <w:color w:val="4B5563"/>
          <w:sz w:val="20"/>
          <w:szCs w:val="20"/>
        </w:rPr>
        <w:t xml:space="preserve">To: Data Protection Authority of Sri Lanka. From: [Organization Name], [address], DPO: [name, contact]. We hereby notify a personal data breach identified on [date/time]. Nature of breach: [unauthorized access / disclosure / loss / alteration]. Categories and approximate number of data subjects: […]. Categories and approximate volume of personal data records: […]. Likely consequences: […]. Measures taken or proposed: [containment, remediation, subject notification]. Point of contact for further information: […].</w:t>
      </w:r>
    </w:p>
    <w:p>
      <w:pPr>
        <w:pStyle w:val="Heading2"/>
        <w:spacing w:after="120" w:before="240"/>
      </w:pPr>
      <w:r>
        <w:rPr>
          <w:b/>
          <w:bCs/>
          <w:color w:val="111827"/>
          <w:sz w:val="25"/>
          <w:szCs w:val="25"/>
        </w:rPr>
        <w:t xml:space="preserve">6.2 Data subject notification (skeleton)</w:t>
      </w:r>
    </w:p>
    <w:p>
      <w:pPr>
        <w:spacing w:after="140" w:line="276"/>
      </w:pPr>
      <w:r>
        <w:rPr>
          <w:color w:val="4B5563"/>
          <w:sz w:val="20"/>
          <w:szCs w:val="20"/>
        </w:rPr>
        <w:t xml:space="preserve">Dear [Name], we are writing to inform you of a security incident that involved some of your personal information held by [Organization Name]. On [date] we discovered [brief plain-language description]. The information involved was: […]. What we have done: […]. What you can do: [monitor bank statements, change passwords, beware of phishing]. We sincerely regret this incident. For questions contact [helpline / email].</w:t>
      </w:r>
    </w:p>
    <w:p>
      <w:pPr>
        <w:pStyle w:val="Heading2"/>
        <w:spacing w:after="120" w:before="240"/>
      </w:pPr>
      <w:r>
        <w:rPr>
          <w:b/>
          <w:bCs/>
          <w:color w:val="111827"/>
          <w:sz w:val="25"/>
          <w:szCs w:val="25"/>
        </w:rPr>
        <w:t xml:space="preserve">6.3 Internal all-staff notice (skeleton)</w:t>
      </w:r>
    </w:p>
    <w:p>
      <w:pPr>
        <w:spacing w:after="140" w:line="276"/>
      </w:pPr>
      <w:r>
        <w:rPr>
          <w:color w:val="4B5563"/>
          <w:sz w:val="20"/>
          <w:szCs w:val="20"/>
        </w:rPr>
        <w:t xml:space="preserve">Team, we are responding to a data security incident affecting [system/scope]. Do not discuss the incident externally or on social media. Direct any external inquiries to [Communications lead]. If you notice suspicious activity, report it to [security contact] immediately.</w:t>
      </w:r>
    </w:p>
    <w:sectPr>
      <w:footerReference w:type="default" r:id="rId7"/>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9CA3AF"/>
        <w:sz w:val="16"/>
        <w:szCs w:val="16"/>
      </w:rPr>
      <w:t xml:space="preserve">OpenDLP-LK — Data Breach Incident Response Plan Template v1.0</w:t>
    </w:r>
    <w:r>
      <w:rPr>
        <w:sz w:val="16"/>
        <w:szCs w:val="16"/>
      </w:rPr>
      <w:t xml:space="preserve">	</w:t>
    </w:r>
    <w:r>
      <w:rPr>
        <w:color w:val="9CA3A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2026-07-15T11:32:34.239Z</dcterms:created>
  <dcterms:modified xsi:type="dcterms:W3CDTF">2026-07-15T11:32:34.239Z</dcterms:modified>
</cp:coreProperties>
</file>

<file path=docProps/custom.xml><?xml version="1.0" encoding="utf-8"?>
<Properties xmlns="http://schemas.openxmlformats.org/officeDocument/2006/custom-properties" xmlns:vt="http://schemas.openxmlformats.org/officeDocument/2006/docPropsVTypes"/>
</file>