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431E2B8" w:rsidR="009C300C" w:rsidRPr="00BE72CB" w:rsidRDefault="002A0D02" w:rsidP="00494AA3">
            <w:pPr>
              <w:pStyle w:val="MGTHeader"/>
            </w:pPr>
            <w:r>
              <w:t>Goal 4</w:t>
            </w:r>
            <w:r w:rsidRPr="00BE3399">
              <w:t>: Ensure inclusive and equitable quality education and promote lifelong learning opportunities for all</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52E0C74D" w:rsidR="009C300C" w:rsidRPr="009F305C" w:rsidRDefault="002A0D02" w:rsidP="00494AA3">
            <w:pPr>
              <w:pStyle w:val="MGTHeader"/>
            </w:pPr>
            <w:r>
              <w:t>Target 4.3</w:t>
            </w:r>
            <w:r w:rsidRPr="00BE3399">
              <w:t>: By 2030, ensure equal access for all women and men to affordable and quality technical, vocational and tertiary education, including university</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6F782CC4" w:rsidR="009C300C" w:rsidRPr="00BE72CB" w:rsidRDefault="002A0D02" w:rsidP="00494AA3">
            <w:pPr>
              <w:pStyle w:val="MIndHeader"/>
            </w:pPr>
            <w:bookmarkStart w:id="5" w:name="_Toc455354704"/>
            <w:r w:rsidRPr="00BE3399">
              <w:t>Indicator 4.3.1: Participation rate of youth and adults in formal and non-formal education and training in the previous 12 months, by sex</w:t>
            </w:r>
            <w:bookmarkEnd w:id="5"/>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0212677" w:rsidR="009C300C" w:rsidRPr="002A0D02" w:rsidRDefault="002A0D02" w:rsidP="002A0D02">
            <w:pPr>
              <w:pStyle w:val="Header"/>
              <w:rPr>
                <w:color w:val="595959" w:themeColor="text1" w:themeTint="A6"/>
                <w:sz w:val="18"/>
                <w:szCs w:val="18"/>
              </w:rPr>
            </w:pPr>
            <w:r>
              <w:rPr>
                <w:color w:val="595959" w:themeColor="text1" w:themeTint="A6"/>
                <w:sz w:val="18"/>
                <w:szCs w:val="18"/>
              </w:rPr>
              <w:t>Last updated: March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36A39671" w14:textId="77777777" w:rsidR="00AB7D6E" w:rsidRPr="00BE3399" w:rsidRDefault="00AB7D6E" w:rsidP="00B35EE8">
            <w:pPr>
              <w:pStyle w:val="MHeader"/>
              <w:rPr>
                <w:b/>
                <w:bCs/>
              </w:rPr>
            </w:pPr>
            <w:r w:rsidRPr="00BE3399">
              <w:t>Related indicators as of February 2020</w:t>
            </w:r>
          </w:p>
          <w:p w14:paraId="6EA656A1" w14:textId="40227209" w:rsidR="009C300C" w:rsidRPr="009F305C" w:rsidRDefault="00AB7D6E" w:rsidP="00B35EE8">
            <w:pPr>
              <w:pStyle w:val="MText"/>
            </w:pPr>
            <w:r w:rsidRPr="00BE3399">
              <w:t>1.4, 4.4, 4.5, 5.b, 8.5, 9.2</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0E341D19" w14:textId="77777777" w:rsidR="002A0D02" w:rsidRPr="00BE3399" w:rsidRDefault="002A0D02" w:rsidP="00B35EE8">
            <w:pPr>
              <w:pStyle w:val="MHeader"/>
              <w:rPr>
                <w:b/>
                <w:bCs/>
              </w:rPr>
            </w:pPr>
            <w:r w:rsidRPr="00BE3399">
              <w:t>Institutional information</w:t>
            </w:r>
          </w:p>
          <w:p w14:paraId="245E4E7E" w14:textId="77777777" w:rsidR="002A0D02" w:rsidRPr="00B35EE8" w:rsidRDefault="002A0D02" w:rsidP="00B35EE8">
            <w:pPr>
              <w:pStyle w:val="MSubHeader"/>
            </w:pPr>
            <w:r w:rsidRPr="00B35EE8">
              <w:rPr>
                <w:rStyle w:val="Strong"/>
                <w:b/>
                <w:bCs/>
              </w:rPr>
              <w:t>Organization(s):</w:t>
            </w:r>
          </w:p>
          <w:p w14:paraId="4B06110B" w14:textId="75AC57D7" w:rsidR="009C300C" w:rsidRPr="00803258" w:rsidRDefault="002A0D02" w:rsidP="00B35EE8">
            <w:pPr>
              <w:pStyle w:val="MText"/>
            </w:pPr>
            <w:r w:rsidRPr="00BE3399">
              <w:t>UNESCO Institute for Statistics (UNESCO-UIS)</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6" w:name="_Toc36655609"/>
            <w:bookmarkStart w:id="7" w:name="_Toc36812572"/>
            <w:bookmarkStart w:id="8" w:name="_Toc36812685"/>
            <w:bookmarkStart w:id="9" w:name="_Toc36813072"/>
            <w:bookmarkStart w:id="10" w:name="_Toc37932744"/>
            <w:r w:rsidRPr="00AF2FE1">
              <w:t>1. Data reporter</w:t>
            </w:r>
            <w:bookmarkEnd w:id="6"/>
            <w:bookmarkEnd w:id="7"/>
            <w:bookmarkEnd w:id="8"/>
            <w:bookmarkEnd w:id="9"/>
            <w:bookmarkEnd w:id="10"/>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1" w:name="_Toc36655610"/>
            <w:bookmarkStart w:id="12" w:name="_Toc36812573"/>
            <w:bookmarkStart w:id="13" w:name="_Toc36812686"/>
            <w:bookmarkStart w:id="14" w:name="_Toc36813073"/>
            <w:bookmarkStart w:id="15" w:name="_Toc37932745"/>
            <w:r w:rsidRPr="00AF2FE1">
              <w:t>2. Definition, concepts, and classifications</w:t>
            </w:r>
            <w:bookmarkEnd w:id="11"/>
            <w:bookmarkEnd w:id="12"/>
            <w:bookmarkEnd w:id="13"/>
            <w:bookmarkEnd w:id="14"/>
            <w:bookmarkEnd w:id="15"/>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042728AF" w14:textId="77777777" w:rsidR="002A0D02" w:rsidRPr="00BE3399" w:rsidRDefault="002A0D02" w:rsidP="00B35EE8">
            <w:pPr>
              <w:pStyle w:val="MHeader"/>
              <w:rPr>
                <w:b/>
                <w:bCs/>
              </w:rPr>
            </w:pPr>
            <w:r w:rsidRPr="00BE3399">
              <w:t>Concepts and definitions</w:t>
            </w:r>
          </w:p>
          <w:p w14:paraId="41EC6DCD" w14:textId="77777777" w:rsidR="002A0D02" w:rsidRPr="00BE3399" w:rsidRDefault="002A0D02" w:rsidP="00B35EE8">
            <w:pPr>
              <w:pStyle w:val="MSubHeader"/>
            </w:pPr>
            <w:r w:rsidRPr="00BE3399">
              <w:rPr>
                <w:rStyle w:val="Strong"/>
              </w:rPr>
              <w:t>Definition:</w:t>
            </w:r>
          </w:p>
          <w:p w14:paraId="138B2F8C" w14:textId="77777777" w:rsidR="002A0D02" w:rsidRPr="00BE3399" w:rsidRDefault="002A0D02" w:rsidP="00B35EE8">
            <w:pPr>
              <w:pStyle w:val="MText"/>
            </w:pPr>
            <w:r w:rsidRPr="00BE3399">
              <w:lastRenderedPageBreak/>
              <w:t>The percentage of youth and adults in a given age range (e.g. 15-24 years, 25-64 years, etc.) participating in formal or non-formal education or training in a given time period (e.g. last 12 months).</w:t>
            </w:r>
            <w:r w:rsidRPr="00BE3399">
              <w:rPr>
                <w:rStyle w:val="apple-converted-space"/>
              </w:rPr>
              <w:t xml:space="preserve"> </w:t>
            </w:r>
          </w:p>
          <w:p w14:paraId="206AC0E6" w14:textId="77777777" w:rsidR="002A0D02" w:rsidRPr="00BE3399" w:rsidRDefault="002A0D02" w:rsidP="002A0D02">
            <w:pPr>
              <w:pStyle w:val="form-control-static"/>
              <w:shd w:val="clear" w:color="auto" w:fill="FFFFFF"/>
              <w:spacing w:before="0" w:beforeAutospacing="0" w:after="0" w:afterAutospacing="0"/>
              <w:rPr>
                <w:rFonts w:asciiTheme="minorHAnsi" w:hAnsiTheme="minorHAnsi"/>
                <w:color w:val="4A4A4A"/>
                <w:sz w:val="21"/>
                <w:szCs w:val="21"/>
              </w:rPr>
            </w:pPr>
          </w:p>
          <w:p w14:paraId="3A76F61F" w14:textId="77777777" w:rsidR="002A0D02" w:rsidRPr="00B35EE8" w:rsidRDefault="002A0D02" w:rsidP="00B35EE8">
            <w:pPr>
              <w:pStyle w:val="MSubHeader"/>
            </w:pPr>
            <w:r w:rsidRPr="00B35EE8">
              <w:rPr>
                <w:rStyle w:val="Strong"/>
                <w:b/>
                <w:bCs/>
              </w:rPr>
              <w:t>Concepts:</w:t>
            </w:r>
          </w:p>
          <w:p w14:paraId="4C6535F9" w14:textId="77777777" w:rsidR="002A0D02" w:rsidRPr="00BE3399" w:rsidRDefault="002A0D02" w:rsidP="00B35EE8">
            <w:pPr>
              <w:pStyle w:val="MText"/>
            </w:pPr>
            <w:r w:rsidRPr="00BE3399">
              <w:t xml:space="preserve">Formal education and training </w:t>
            </w:r>
            <w:proofErr w:type="gramStart"/>
            <w:r w:rsidRPr="00BE3399">
              <w:t>is</w:t>
            </w:r>
            <w:proofErr w:type="gramEnd"/>
            <w:r w:rsidRPr="00BE3399">
              <w:t xml:space="preserve"> defined as education provided by the system of schools, colleges, universities and other formal educational institutions that normally constitutes a continuous ‘ladder’ of full-time education for children and young people, generally beginning at the age of 5 to 7 and continuing to up to 20 or 25 years old. In some countries, the upper parts of this ‘ladder’ are organized programmes of joint part-time employment and part-time participation in the regular school and university system.</w:t>
            </w:r>
          </w:p>
          <w:p w14:paraId="61D470C4" w14:textId="77777777" w:rsidR="002A0D02" w:rsidRPr="00BE3399" w:rsidRDefault="002A0D02" w:rsidP="002A0D02">
            <w:pPr>
              <w:pStyle w:val="form-control-static"/>
              <w:shd w:val="clear" w:color="auto" w:fill="FFFFFF"/>
              <w:spacing w:before="0" w:beforeAutospacing="0" w:after="0" w:afterAutospacing="0"/>
              <w:rPr>
                <w:rFonts w:asciiTheme="minorHAnsi" w:hAnsiTheme="minorHAnsi"/>
                <w:color w:val="4A4A4A"/>
                <w:sz w:val="21"/>
                <w:szCs w:val="21"/>
              </w:rPr>
            </w:pPr>
          </w:p>
          <w:p w14:paraId="0D507A5A" w14:textId="492A4B4F" w:rsidR="0023460C" w:rsidRPr="009F305C" w:rsidRDefault="002A0D02" w:rsidP="00B35EE8">
            <w:pPr>
              <w:pStyle w:val="MText"/>
            </w:pPr>
            <w:r w:rsidRPr="00BE3399">
              <w:t>Non-formal education and training is defined as any organized and sustained learning activities that do not correspond exactly to the above definition of formal education. Non-formal education may therefore take place both within and outside educational institutions and cater to people of all ages. Depending on national contexts, it may cover educational programmes to impart adult literacy, life-skills, work-skills, and general culture.</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6" w:name="_Toc36813074"/>
            <w:bookmarkStart w:id="17" w:name="_Toc37932746"/>
            <w:r w:rsidRPr="00AF2FE1">
              <w:t>3. Data source type and data collection method</w:t>
            </w:r>
            <w:bookmarkEnd w:id="16"/>
            <w:bookmarkEnd w:id="17"/>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EE94E83" w14:textId="5C4240F0" w:rsidR="00E6258A" w:rsidRPr="00BE3399" w:rsidRDefault="00E6258A" w:rsidP="00EF50BD">
            <w:pPr>
              <w:pStyle w:val="MHeader"/>
              <w:rPr>
                <w:b/>
                <w:bCs/>
              </w:rPr>
            </w:pPr>
            <w:r w:rsidRPr="00BE3399">
              <w:t xml:space="preserve">Data </w:t>
            </w:r>
            <w:r w:rsidR="00EF50BD">
              <w:t>s</w:t>
            </w:r>
            <w:r w:rsidRPr="00BE3399">
              <w:t>ources</w:t>
            </w:r>
          </w:p>
          <w:p w14:paraId="6A52A446" w14:textId="77777777" w:rsidR="00E6258A" w:rsidRPr="00EF50BD" w:rsidRDefault="00E6258A" w:rsidP="00EF50BD">
            <w:pPr>
              <w:pStyle w:val="MSubHeader"/>
            </w:pPr>
            <w:r w:rsidRPr="00EF50BD">
              <w:rPr>
                <w:rStyle w:val="Strong"/>
                <w:b/>
                <w:bCs/>
              </w:rPr>
              <w:t>Description:</w:t>
            </w:r>
          </w:p>
          <w:p w14:paraId="02F7E7E5" w14:textId="444824DA" w:rsidR="009C300C" w:rsidRPr="009F305C" w:rsidRDefault="00E6258A" w:rsidP="00EF50BD">
            <w:pPr>
              <w:pStyle w:val="MText"/>
            </w:pPr>
            <w:r w:rsidRPr="00BE3399">
              <w:t>Administrative data from schools and other places of education and training or household survey data on participants in formal and non-formal education and training by single year of age; population censuses and surveys for population estimates by single year of age (if using administrative data on enrolment).</w:t>
            </w:r>
            <w:r w:rsidRPr="00BE3399">
              <w:rPr>
                <w:rStyle w:val="apple-converted-space"/>
              </w:rP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6D8E3C1D" w14:textId="77777777" w:rsidR="00E6258A" w:rsidRPr="008E2044" w:rsidRDefault="00E6258A" w:rsidP="008E2044">
            <w:pPr>
              <w:pStyle w:val="MSubHeader"/>
            </w:pPr>
            <w:r w:rsidRPr="008E2044">
              <w:rPr>
                <w:rStyle w:val="Strong"/>
                <w:b/>
                <w:bCs/>
              </w:rPr>
              <w:t>Collection process:</w:t>
            </w:r>
          </w:p>
          <w:p w14:paraId="7825E3F0" w14:textId="4A2720DE" w:rsidR="009C300C" w:rsidRPr="009F305C" w:rsidRDefault="00E6258A" w:rsidP="008E2044">
            <w:pPr>
              <w:pStyle w:val="MText"/>
            </w:pPr>
            <w:r w:rsidRPr="00BE3399">
              <w:t>Data are collected from the respective organizations responsible for each survey.</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5334D8B" w14:textId="77777777" w:rsidR="00AB7D6E" w:rsidRPr="00BE3399" w:rsidRDefault="00AB7D6E" w:rsidP="00311266">
            <w:pPr>
              <w:pStyle w:val="MHeader"/>
              <w:rPr>
                <w:b/>
                <w:bCs/>
              </w:rPr>
            </w:pPr>
            <w:r w:rsidRPr="00BE3399">
              <w:t>Calendar</w:t>
            </w:r>
          </w:p>
          <w:p w14:paraId="40BFE398" w14:textId="77777777" w:rsidR="00AB7D6E" w:rsidRPr="00311266" w:rsidRDefault="00AB7D6E" w:rsidP="00311266">
            <w:pPr>
              <w:pStyle w:val="MSubHeader"/>
            </w:pPr>
            <w:r w:rsidRPr="00311266">
              <w:rPr>
                <w:rStyle w:val="Strong"/>
                <w:b/>
                <w:bCs/>
              </w:rPr>
              <w:lastRenderedPageBreak/>
              <w:t>Data collection:</w:t>
            </w:r>
          </w:p>
          <w:p w14:paraId="1FF4ADBD" w14:textId="38A1B2A1" w:rsidR="009C300C" w:rsidRPr="009F305C" w:rsidRDefault="00AB7D6E" w:rsidP="00311266">
            <w:pPr>
              <w:pStyle w:val="MText"/>
            </w:pPr>
            <w:r w:rsidRPr="00BE3399">
              <w:t xml:space="preserve">Various depending on survey and country.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lastRenderedPageBreak/>
              <w:t>3.d. Data release calendar</w:t>
            </w:r>
          </w:p>
        </w:tc>
        <w:tc>
          <w:tcPr>
            <w:tcW w:w="3246" w:type="pct"/>
            <w:tcBorders>
              <w:top w:val="nil"/>
              <w:left w:val="nil"/>
              <w:bottom w:val="single" w:sz="4" w:space="0" w:color="auto"/>
              <w:right w:val="single" w:sz="4" w:space="0" w:color="auto"/>
            </w:tcBorders>
            <w:shd w:val="clear" w:color="auto" w:fill="auto"/>
          </w:tcPr>
          <w:p w14:paraId="70AA3E48" w14:textId="77777777" w:rsidR="00AB7D6E" w:rsidRPr="00311266" w:rsidRDefault="00AB7D6E" w:rsidP="00311266">
            <w:pPr>
              <w:pStyle w:val="MSubHeader"/>
            </w:pPr>
            <w:r w:rsidRPr="00311266">
              <w:rPr>
                <w:rStyle w:val="Strong"/>
                <w:b/>
                <w:bCs/>
              </w:rPr>
              <w:t>Data release:</w:t>
            </w:r>
          </w:p>
          <w:p w14:paraId="7788C02D" w14:textId="20D5A245" w:rsidR="009C300C" w:rsidRPr="00856714" w:rsidRDefault="00AB7D6E" w:rsidP="00311266">
            <w:pPr>
              <w:pStyle w:val="MText"/>
            </w:pPr>
            <w:r w:rsidRPr="00BE3399">
              <w:t xml:space="preserve">Various depending on survey and country.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FD5D08B" w14:textId="77777777" w:rsidR="00AB7D6E" w:rsidRPr="00BE3399" w:rsidRDefault="00AB7D6E" w:rsidP="00311266">
            <w:pPr>
              <w:pStyle w:val="MHeader"/>
              <w:rPr>
                <w:b/>
                <w:bCs/>
              </w:rPr>
            </w:pPr>
            <w:r w:rsidRPr="00BE3399">
              <w:t>Data providers</w:t>
            </w:r>
          </w:p>
          <w:p w14:paraId="0C575E97" w14:textId="00CC8FBA" w:rsidR="009C300C" w:rsidRPr="005E6457" w:rsidRDefault="00AB7D6E" w:rsidP="005E6457">
            <w:pPr>
              <w:pStyle w:val="MText"/>
            </w:pPr>
            <w:r w:rsidRPr="00BE3399">
              <w:t>Ministries of Education and /or National Statistical Offices.</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5DB2C76" w14:textId="77777777" w:rsidR="00AB7D6E" w:rsidRPr="00BE3399" w:rsidRDefault="00AB7D6E" w:rsidP="00311266">
            <w:pPr>
              <w:pStyle w:val="MHeader"/>
              <w:rPr>
                <w:b/>
                <w:bCs/>
              </w:rPr>
            </w:pPr>
            <w:r w:rsidRPr="00BE3399">
              <w:t>Data compilers</w:t>
            </w:r>
          </w:p>
          <w:p w14:paraId="3015356B" w14:textId="7F310F0C" w:rsidR="009C300C" w:rsidRPr="005E6457" w:rsidRDefault="00AB7D6E" w:rsidP="00311266">
            <w:pPr>
              <w:pStyle w:val="MText"/>
            </w:pPr>
            <w:r w:rsidRPr="00BE3399">
              <w:t>UNESCO Institute for Statistics</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8" w:name="_Toc36655612"/>
            <w:bookmarkStart w:id="19" w:name="_Toc36812575"/>
            <w:bookmarkStart w:id="20" w:name="_Toc36812688"/>
            <w:bookmarkStart w:id="21" w:name="_Toc36813075"/>
            <w:bookmarkStart w:id="22" w:name="_Toc37932747"/>
            <w:r w:rsidRPr="007F2D9F">
              <w:t>4. Other methodological considerations</w:t>
            </w:r>
            <w:bookmarkEnd w:id="18"/>
            <w:bookmarkEnd w:id="19"/>
            <w:bookmarkEnd w:id="20"/>
            <w:bookmarkEnd w:id="21"/>
            <w:bookmarkEnd w:id="22"/>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885C739" w14:textId="77777777" w:rsidR="002A0D02" w:rsidRPr="00311266" w:rsidRDefault="002A0D02" w:rsidP="00311266">
            <w:pPr>
              <w:pStyle w:val="MSubHeader"/>
            </w:pPr>
            <w:r w:rsidRPr="00311266">
              <w:rPr>
                <w:rStyle w:val="Strong"/>
                <w:b/>
                <w:bCs/>
              </w:rPr>
              <w:t>Rationale:</w:t>
            </w:r>
          </w:p>
          <w:p w14:paraId="60B3B8DC" w14:textId="21E2425A" w:rsidR="009C300C" w:rsidRPr="009F305C" w:rsidRDefault="002A0D02" w:rsidP="00311266">
            <w:pPr>
              <w:pStyle w:val="MText"/>
            </w:pPr>
            <w:r w:rsidRPr="00BE3399">
              <w:t>To show the level of participation of youth and adults in education and training of all types. A high value indicates a large share of the population in the relevant age group is participating in formal and non-formal education and training.</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786E31E" w14:textId="77777777" w:rsidR="002A0D02" w:rsidRPr="00BE3399" w:rsidRDefault="002A0D02" w:rsidP="002A0D02">
            <w:pPr>
              <w:rPr>
                <w:rFonts w:cs="Times New Roman"/>
              </w:rPr>
            </w:pPr>
            <w:r w:rsidRPr="00311266">
              <w:rPr>
                <w:rStyle w:val="MSubHeaderChar"/>
              </w:rPr>
              <w:t>Comments and limitations</w:t>
            </w:r>
            <w:r w:rsidRPr="00BE3399">
              <w:rPr>
                <w:rStyle w:val="Strong"/>
                <w:rFonts w:cs="Times New Roman"/>
              </w:rPr>
              <w:t>:</w:t>
            </w:r>
          </w:p>
          <w:p w14:paraId="6255836D" w14:textId="0B746434" w:rsidR="009C300C" w:rsidRPr="009F305C" w:rsidRDefault="002A0D02" w:rsidP="00311266">
            <w:pPr>
              <w:pStyle w:val="MText"/>
            </w:pPr>
            <w:r w:rsidRPr="00BE3399">
              <w:t>Formal and non-formal education and training can be offered in a variety of settings including schools and universities, workplace environments and others and can have a variety of durations. Administrative data often capture only provision in formal settings such as schools and universities. Participation rates do not capture the intensity or quality of the provision nor the outcomes of the education and training on offer.</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1A99C0FF" w14:textId="77777777" w:rsidR="002A0D02" w:rsidRPr="00BE3399" w:rsidRDefault="002A0D02" w:rsidP="00311266">
            <w:pPr>
              <w:pStyle w:val="MHeader"/>
              <w:rPr>
                <w:b/>
                <w:bCs/>
              </w:rPr>
            </w:pPr>
            <w:r w:rsidRPr="00BE3399">
              <w:t>Methodology</w:t>
            </w:r>
          </w:p>
          <w:p w14:paraId="313CA6C7" w14:textId="4E4AD494" w:rsidR="002A0D02" w:rsidRPr="00311266" w:rsidRDefault="002A0D02" w:rsidP="00311266">
            <w:pPr>
              <w:pStyle w:val="MSubHeader"/>
            </w:pPr>
            <w:r w:rsidRPr="00311266">
              <w:rPr>
                <w:rStyle w:val="Strong"/>
                <w:b/>
                <w:bCs/>
              </w:rPr>
              <w:t xml:space="preserve">Computation </w:t>
            </w:r>
            <w:r w:rsidR="00311266" w:rsidRPr="00311266">
              <w:rPr>
                <w:rStyle w:val="Strong"/>
                <w:b/>
                <w:bCs/>
              </w:rPr>
              <w:t>m</w:t>
            </w:r>
            <w:r w:rsidRPr="00311266">
              <w:rPr>
                <w:rStyle w:val="Strong"/>
                <w:b/>
                <w:bCs/>
              </w:rPr>
              <w:t>ethod:</w:t>
            </w:r>
          </w:p>
          <w:p w14:paraId="15445EB0" w14:textId="77777777" w:rsidR="002A0D02" w:rsidRPr="00BE3399" w:rsidRDefault="002A0D02" w:rsidP="00311266">
            <w:pPr>
              <w:pStyle w:val="MText"/>
            </w:pPr>
            <w:r w:rsidRPr="00BE3399">
              <w:t>The number of people in selected age groups participating in formal or non-formal education or training is expressed as a percentage of the population of the same age.</w:t>
            </w:r>
          </w:p>
          <w:p w14:paraId="7AF13105" w14:textId="77777777" w:rsidR="002A0D02" w:rsidRPr="00BE3399" w:rsidRDefault="002A0D02" w:rsidP="00311266">
            <w:pPr>
              <w:pStyle w:val="MText"/>
            </w:pPr>
          </w:p>
          <w:p w14:paraId="11F277AB" w14:textId="77777777" w:rsidR="002A0D02" w:rsidRPr="00BE3399" w:rsidRDefault="002A0D02" w:rsidP="00311266">
            <w:pPr>
              <w:pStyle w:val="MText"/>
            </w:pPr>
            <w:proofErr w:type="spellStart"/>
            <w:r w:rsidRPr="00BE3399">
              <w:t>PRAGi</w:t>
            </w:r>
            <w:proofErr w:type="spellEnd"/>
            <w:r w:rsidRPr="00BE3399">
              <w:t xml:space="preserve"> = </w:t>
            </w:r>
            <w:proofErr w:type="spellStart"/>
            <w:r w:rsidRPr="00BE3399">
              <w:t>EAGi</w:t>
            </w:r>
            <w:proofErr w:type="spellEnd"/>
          </w:p>
          <w:p w14:paraId="1DE58F80" w14:textId="77777777" w:rsidR="002A0D02" w:rsidRPr="00BE3399" w:rsidRDefault="002A0D02" w:rsidP="00311266">
            <w:pPr>
              <w:pStyle w:val="MText"/>
            </w:pPr>
          </w:p>
          <w:p w14:paraId="0ABED3B5" w14:textId="77777777" w:rsidR="002A0D02" w:rsidRPr="00BE3399" w:rsidRDefault="002A0D02" w:rsidP="00311266">
            <w:pPr>
              <w:pStyle w:val="MText"/>
            </w:pPr>
            <w:proofErr w:type="spellStart"/>
            <w:r w:rsidRPr="00BE3399">
              <w:t>PAGi</w:t>
            </w:r>
            <w:proofErr w:type="spellEnd"/>
          </w:p>
          <w:p w14:paraId="55CC6EB1" w14:textId="77777777" w:rsidR="002A0D02" w:rsidRPr="00BE3399" w:rsidRDefault="002A0D02" w:rsidP="00311266">
            <w:pPr>
              <w:pStyle w:val="MText"/>
            </w:pPr>
          </w:p>
          <w:p w14:paraId="1EBF4F06" w14:textId="77777777" w:rsidR="002A0D02" w:rsidRPr="00BE3399" w:rsidRDefault="002A0D02" w:rsidP="00311266">
            <w:pPr>
              <w:pStyle w:val="MText"/>
            </w:pPr>
            <w:r w:rsidRPr="00BE3399">
              <w:t>where:</w:t>
            </w:r>
          </w:p>
          <w:p w14:paraId="2C47610A" w14:textId="77777777" w:rsidR="002A0D02" w:rsidRPr="00BE3399" w:rsidRDefault="002A0D02" w:rsidP="00311266">
            <w:pPr>
              <w:pStyle w:val="MText"/>
            </w:pPr>
          </w:p>
          <w:p w14:paraId="49627787" w14:textId="77777777" w:rsidR="002A0D02" w:rsidRPr="00BE3399" w:rsidRDefault="002A0D02" w:rsidP="00311266">
            <w:pPr>
              <w:pStyle w:val="MText"/>
            </w:pPr>
            <w:proofErr w:type="spellStart"/>
            <w:r w:rsidRPr="00BE3399">
              <w:lastRenderedPageBreak/>
              <w:t>PRAGi</w:t>
            </w:r>
            <w:proofErr w:type="spellEnd"/>
            <w:r w:rsidRPr="00BE3399">
              <w:t xml:space="preserve"> = participation rate of the population in age group </w:t>
            </w:r>
            <w:proofErr w:type="spellStart"/>
            <w:r w:rsidRPr="00BE3399">
              <w:t>i</w:t>
            </w:r>
            <w:proofErr w:type="spellEnd"/>
            <w:r w:rsidRPr="00BE3399">
              <w:t xml:space="preserve"> in formal and non-formal education and training</w:t>
            </w:r>
          </w:p>
          <w:p w14:paraId="6190470A" w14:textId="77777777" w:rsidR="002A0D02" w:rsidRPr="00BE3399" w:rsidRDefault="002A0D02" w:rsidP="002A0D02">
            <w:pPr>
              <w:pStyle w:val="form-control-static"/>
              <w:shd w:val="clear" w:color="auto" w:fill="FFFFFF"/>
              <w:spacing w:before="0" w:beforeAutospacing="0" w:after="0" w:afterAutospacing="0"/>
              <w:rPr>
                <w:rFonts w:asciiTheme="minorHAnsi" w:hAnsiTheme="minorHAnsi"/>
                <w:color w:val="4A4A4A"/>
                <w:sz w:val="21"/>
                <w:szCs w:val="21"/>
              </w:rPr>
            </w:pPr>
          </w:p>
          <w:p w14:paraId="77023208" w14:textId="77777777" w:rsidR="002A0D02" w:rsidRPr="00BE3399" w:rsidRDefault="002A0D02" w:rsidP="00311266">
            <w:pPr>
              <w:pStyle w:val="MText"/>
            </w:pPr>
            <w:proofErr w:type="spellStart"/>
            <w:r w:rsidRPr="00BE3399">
              <w:t>EAGi</w:t>
            </w:r>
            <w:proofErr w:type="spellEnd"/>
            <w:r w:rsidRPr="00BE3399">
              <w:t xml:space="preserve"> = enrolment of the population in age group </w:t>
            </w:r>
            <w:proofErr w:type="spellStart"/>
            <w:r w:rsidRPr="00BE3399">
              <w:t>i</w:t>
            </w:r>
            <w:proofErr w:type="spellEnd"/>
            <w:r w:rsidRPr="00BE3399">
              <w:t xml:space="preserve"> in formal and non-formal education and training</w:t>
            </w:r>
          </w:p>
          <w:p w14:paraId="2A465039" w14:textId="77777777" w:rsidR="002A0D02" w:rsidRPr="00BE3399" w:rsidRDefault="002A0D02" w:rsidP="00311266">
            <w:pPr>
              <w:pStyle w:val="MText"/>
            </w:pPr>
          </w:p>
          <w:p w14:paraId="66806329" w14:textId="77777777" w:rsidR="002A0D02" w:rsidRPr="00BE3399" w:rsidRDefault="002A0D02" w:rsidP="00311266">
            <w:pPr>
              <w:pStyle w:val="MText"/>
            </w:pPr>
            <w:proofErr w:type="spellStart"/>
            <w:r w:rsidRPr="00BE3399">
              <w:t>PAGi</w:t>
            </w:r>
            <w:proofErr w:type="spellEnd"/>
            <w:r w:rsidRPr="00BE3399">
              <w:t xml:space="preserve"> = population in age group </w:t>
            </w:r>
            <w:proofErr w:type="spellStart"/>
            <w:r w:rsidRPr="00BE3399">
              <w:t>i</w:t>
            </w:r>
            <w:proofErr w:type="spellEnd"/>
          </w:p>
          <w:p w14:paraId="66690E88" w14:textId="77777777" w:rsidR="002A0D02" w:rsidRPr="00BE3399" w:rsidRDefault="002A0D02" w:rsidP="00311266">
            <w:pPr>
              <w:pStyle w:val="MText"/>
            </w:pPr>
          </w:p>
          <w:p w14:paraId="2FA3E8F8" w14:textId="43CE72D3" w:rsidR="009C300C" w:rsidRPr="009F305C" w:rsidRDefault="002A0D02" w:rsidP="00311266">
            <w:pPr>
              <w:pStyle w:val="MText"/>
            </w:pPr>
            <w:proofErr w:type="spellStart"/>
            <w:r w:rsidRPr="00BE3399">
              <w:t>i</w:t>
            </w:r>
            <w:proofErr w:type="spellEnd"/>
            <w:r w:rsidRPr="00BE3399">
              <w:t xml:space="preserve"> = 15-24, 15 and above, 25-64 etc</w:t>
            </w:r>
            <w:r w:rsidR="00311266">
              <w: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808ABA0" w14:textId="77777777" w:rsidR="002A0D02" w:rsidRPr="0098555B" w:rsidRDefault="002A0D02" w:rsidP="0098555B">
            <w:pPr>
              <w:pStyle w:val="MSubHeader"/>
            </w:pPr>
            <w:r w:rsidRPr="0098555B">
              <w:rPr>
                <w:rStyle w:val="Strong"/>
                <w:b/>
                <w:bCs/>
              </w:rPr>
              <w:t>Treatment of missing values:</w:t>
            </w:r>
          </w:p>
          <w:p w14:paraId="68A702C3" w14:textId="3378F31B" w:rsidR="002A0D02" w:rsidRPr="0059754A" w:rsidRDefault="002A0D02" w:rsidP="0059754A">
            <w:pPr>
              <w:pStyle w:val="MText"/>
              <w:numPr>
                <w:ilvl w:val="0"/>
                <w:numId w:val="34"/>
              </w:numPr>
              <w:rPr>
                <w:b/>
                <w:bCs/>
                <w:i/>
                <w:iCs/>
              </w:rPr>
            </w:pPr>
            <w:r w:rsidRPr="0059754A">
              <w:rPr>
                <w:b/>
                <w:bCs/>
                <w:i/>
                <w:iCs/>
              </w:rPr>
              <w:t>At country level</w:t>
            </w:r>
            <w:r w:rsidR="00F4689C" w:rsidRPr="0059754A">
              <w:rPr>
                <w:b/>
                <w:bCs/>
                <w:i/>
                <w:iCs/>
              </w:rPr>
              <w:t>:</w:t>
            </w:r>
          </w:p>
          <w:p w14:paraId="3233CD27" w14:textId="77777777" w:rsidR="002A0D02" w:rsidRPr="00BE3399" w:rsidRDefault="002A0D02" w:rsidP="0098555B">
            <w:pPr>
              <w:pStyle w:val="MText"/>
              <w:ind w:left="360"/>
            </w:pPr>
            <w:r w:rsidRPr="00BE3399">
              <w:t>None by data compiler.</w:t>
            </w:r>
          </w:p>
          <w:p w14:paraId="08522BC3" w14:textId="77777777" w:rsidR="002A0D02" w:rsidRPr="00BE3399" w:rsidRDefault="002A0D02" w:rsidP="0098555B">
            <w:pPr>
              <w:pStyle w:val="NormalWeb"/>
              <w:shd w:val="clear" w:color="auto" w:fill="FFFFFF"/>
              <w:spacing w:before="0" w:beforeAutospacing="0" w:after="0" w:afterAutospacing="0"/>
              <w:ind w:left="360"/>
              <w:rPr>
                <w:rFonts w:asciiTheme="minorHAnsi" w:hAnsiTheme="minorHAnsi"/>
                <w:color w:val="4A4A4A"/>
                <w:sz w:val="21"/>
                <w:szCs w:val="21"/>
              </w:rPr>
            </w:pPr>
          </w:p>
          <w:p w14:paraId="53657C1B" w14:textId="421328E7" w:rsidR="002A0D02" w:rsidRPr="0059754A" w:rsidRDefault="002A0D02" w:rsidP="0059754A">
            <w:pPr>
              <w:pStyle w:val="MText"/>
              <w:numPr>
                <w:ilvl w:val="0"/>
                <w:numId w:val="34"/>
              </w:numPr>
              <w:rPr>
                <w:b/>
                <w:bCs/>
                <w:i/>
                <w:iCs/>
              </w:rPr>
            </w:pPr>
            <w:r w:rsidRPr="0059754A">
              <w:rPr>
                <w:b/>
                <w:bCs/>
                <w:i/>
                <w:iCs/>
              </w:rPr>
              <w:t>At regional and global levels</w:t>
            </w:r>
            <w:r w:rsidR="00F4689C" w:rsidRPr="0059754A">
              <w:rPr>
                <w:b/>
                <w:bCs/>
                <w:i/>
                <w:iCs/>
              </w:rPr>
              <w:t>:</w:t>
            </w:r>
          </w:p>
          <w:p w14:paraId="3FD951A2" w14:textId="6BC7BF5B" w:rsidR="009C300C" w:rsidRPr="009F305C" w:rsidRDefault="002A0D02" w:rsidP="00306A5D">
            <w:pPr>
              <w:pStyle w:val="MText"/>
              <w:ind w:left="360"/>
            </w:pPr>
            <w:r w:rsidRPr="00BE3399">
              <w:t>None by data compiler.</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1AA7EF2E" w14:textId="77777777" w:rsidR="002A0D02" w:rsidRPr="0098555B" w:rsidRDefault="002A0D02" w:rsidP="0098555B">
            <w:pPr>
              <w:pStyle w:val="MSubHeader"/>
            </w:pPr>
            <w:r w:rsidRPr="0098555B">
              <w:rPr>
                <w:rStyle w:val="Strong"/>
                <w:b/>
                <w:bCs/>
              </w:rPr>
              <w:t>Regional aggregates:</w:t>
            </w:r>
          </w:p>
          <w:p w14:paraId="3D5B0C72" w14:textId="42FCC30A" w:rsidR="009C300C" w:rsidRPr="009F305C" w:rsidRDefault="002A0D02" w:rsidP="0098555B">
            <w:pPr>
              <w:pStyle w:val="MText"/>
            </w:pPr>
            <w:r w:rsidRPr="00BE3399">
              <w:t>Regional and global aggregates are not currently available for this indicator.</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3" w:name="_Toc36655613"/>
            <w:bookmarkStart w:id="24" w:name="_Toc36812576"/>
            <w:bookmarkStart w:id="25" w:name="_Toc36812689"/>
            <w:bookmarkStart w:id="26" w:name="_Toc36813076"/>
            <w:bookmarkStart w:id="27" w:name="_Toc37932748"/>
            <w:r w:rsidRPr="00776312">
              <w:t>5. Data availability and disaggregation</w:t>
            </w:r>
            <w:bookmarkEnd w:id="23"/>
            <w:bookmarkEnd w:id="24"/>
            <w:bookmarkEnd w:id="25"/>
            <w:bookmarkEnd w:id="26"/>
            <w:bookmarkEnd w:id="27"/>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EFD0A9C" w14:textId="7BB7E4BE" w:rsidR="00E6258A" w:rsidRPr="00BE3399" w:rsidRDefault="00E6258A" w:rsidP="00306A5D">
            <w:pPr>
              <w:pStyle w:val="MHeader"/>
              <w:rPr>
                <w:b/>
                <w:bCs/>
              </w:rPr>
            </w:pPr>
            <w:r w:rsidRPr="00BE3399">
              <w:t xml:space="preserve">Data </w:t>
            </w:r>
            <w:r w:rsidR="00306A5D">
              <w:t>a</w:t>
            </w:r>
            <w:r w:rsidRPr="00BE3399">
              <w:t>vailability</w:t>
            </w:r>
          </w:p>
          <w:p w14:paraId="373E6DDC" w14:textId="77777777" w:rsidR="00E6258A" w:rsidRPr="00306A5D" w:rsidRDefault="00E6258A" w:rsidP="00306A5D">
            <w:pPr>
              <w:pStyle w:val="MSubHeader"/>
            </w:pPr>
            <w:r w:rsidRPr="00306A5D">
              <w:rPr>
                <w:rStyle w:val="Strong"/>
                <w:b/>
                <w:bCs/>
              </w:rPr>
              <w:t>Description:</w:t>
            </w:r>
          </w:p>
          <w:p w14:paraId="110C8F9E" w14:textId="77777777" w:rsidR="00E6258A" w:rsidRPr="00BE3399" w:rsidRDefault="00E6258A" w:rsidP="00306A5D">
            <w:pPr>
              <w:pStyle w:val="MText"/>
            </w:pPr>
            <w:r>
              <w:t>99</w:t>
            </w:r>
            <w:r w:rsidRPr="00BE3399">
              <w:t xml:space="preserve"> countries </w:t>
            </w:r>
            <w:r>
              <w:t>with at least one data point for the period 2010-2018.</w:t>
            </w:r>
          </w:p>
          <w:p w14:paraId="29EE69C1" w14:textId="77777777" w:rsidR="00E6258A" w:rsidRPr="00BE3399" w:rsidRDefault="00E6258A" w:rsidP="00E6258A">
            <w:pPr>
              <w:pStyle w:val="form-control-static"/>
              <w:shd w:val="clear" w:color="auto" w:fill="FFFFFF"/>
              <w:spacing w:before="0" w:beforeAutospacing="0" w:after="0" w:afterAutospacing="0"/>
              <w:rPr>
                <w:rFonts w:asciiTheme="minorHAnsi" w:hAnsiTheme="minorHAnsi"/>
                <w:color w:val="4A4A4A"/>
                <w:sz w:val="21"/>
                <w:szCs w:val="21"/>
              </w:rPr>
            </w:pPr>
          </w:p>
          <w:p w14:paraId="0832C329" w14:textId="39F87AE1" w:rsidR="002A0D02" w:rsidRPr="00306A5D" w:rsidRDefault="002A0D02" w:rsidP="00306A5D">
            <w:pPr>
              <w:pStyle w:val="MSubHeader"/>
            </w:pPr>
            <w:r w:rsidRPr="00306A5D">
              <w:rPr>
                <w:rStyle w:val="Strong"/>
                <w:b/>
                <w:bCs/>
              </w:rPr>
              <w:t>Disaggregation:</w:t>
            </w:r>
          </w:p>
          <w:p w14:paraId="23CD0193" w14:textId="77777777" w:rsidR="002A0D02" w:rsidRPr="00BE3399" w:rsidRDefault="002A0D02" w:rsidP="00306A5D">
            <w:pPr>
              <w:pStyle w:val="MText"/>
            </w:pPr>
            <w:r w:rsidRPr="00BE3399">
              <w:t xml:space="preserve">By age and sex from administrative sources, and by age, sex, location and income from household surveys. </w:t>
            </w:r>
          </w:p>
          <w:p w14:paraId="66832113" w14:textId="77777777" w:rsidR="00010E42" w:rsidRDefault="00010E42" w:rsidP="00010E42">
            <w:pPr>
              <w:pStyle w:val="MText"/>
            </w:pPr>
          </w:p>
          <w:p w14:paraId="4F98B5F6" w14:textId="77777777" w:rsidR="00E6258A" w:rsidRPr="00306A5D" w:rsidRDefault="00E6258A" w:rsidP="00306A5D">
            <w:pPr>
              <w:pStyle w:val="MSubHeader"/>
            </w:pPr>
            <w:r w:rsidRPr="00306A5D">
              <w:rPr>
                <w:rStyle w:val="Strong"/>
                <w:b/>
                <w:bCs/>
              </w:rPr>
              <w:t>Time series:</w:t>
            </w:r>
          </w:p>
          <w:p w14:paraId="19A064E0" w14:textId="098E75D5" w:rsidR="00E6258A" w:rsidRPr="009F305C" w:rsidRDefault="00E6258A" w:rsidP="00010E42">
            <w:pPr>
              <w:pStyle w:val="MText"/>
            </w:pPr>
            <w:r>
              <w:t>1994-2018 in UIS database; 2000-2018 in SDG global database.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lastRenderedPageBreak/>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002F624" w14:textId="269C84D9" w:rsidR="009C300C" w:rsidRPr="009F305C" w:rsidRDefault="009C300C" w:rsidP="00791AA9">
            <w:pPr>
              <w:pStyle w:val="MText"/>
            </w:pP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36DC596E" w14:textId="77777777" w:rsidR="00AB7D6E" w:rsidRPr="00BE3399" w:rsidRDefault="00AB7D6E" w:rsidP="00142304">
            <w:pPr>
              <w:pStyle w:val="MHeader"/>
              <w:rPr>
                <w:b/>
                <w:bCs/>
              </w:rPr>
            </w:pPr>
            <w:r w:rsidRPr="00BE3399">
              <w:t>References</w:t>
            </w:r>
          </w:p>
          <w:p w14:paraId="73797690" w14:textId="77777777" w:rsidR="00AB7D6E" w:rsidRPr="00142304" w:rsidRDefault="00AB7D6E" w:rsidP="00142304">
            <w:pPr>
              <w:pStyle w:val="MSubHeader"/>
            </w:pPr>
            <w:r w:rsidRPr="00142304">
              <w:rPr>
                <w:rStyle w:val="Strong"/>
                <w:b/>
                <w:bCs/>
              </w:rPr>
              <w:t>URL:</w:t>
            </w:r>
          </w:p>
          <w:p w14:paraId="74ABF72B" w14:textId="7D28B79B" w:rsidR="00AB7D6E" w:rsidRPr="00BE3399" w:rsidRDefault="0059754A" w:rsidP="00AB7D6E">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5" w:history="1">
              <w:r w:rsidR="00AB7D6E" w:rsidRPr="00142304">
                <w:rPr>
                  <w:rStyle w:val="Hyperlink"/>
                  <w:rFonts w:asciiTheme="minorHAnsi" w:hAnsiTheme="minorHAnsi"/>
                  <w:sz w:val="21"/>
                  <w:szCs w:val="21"/>
                </w:rPr>
                <w:t>http://www.uis.unesco.org/Pages/default.aspx</w:t>
              </w:r>
            </w:hyperlink>
          </w:p>
          <w:p w14:paraId="043629E8" w14:textId="77777777" w:rsidR="00AB7D6E" w:rsidRPr="00BE3399" w:rsidRDefault="00AB7D6E" w:rsidP="00AB7D6E">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2CF2515F" w14:textId="77777777" w:rsidR="00AB7D6E" w:rsidRPr="00142304" w:rsidRDefault="00AB7D6E" w:rsidP="00142304">
            <w:pPr>
              <w:pStyle w:val="MSubHeader"/>
            </w:pPr>
            <w:r w:rsidRPr="00142304">
              <w:rPr>
                <w:rStyle w:val="Strong"/>
                <w:b/>
                <w:bCs/>
              </w:rPr>
              <w:t>References:</w:t>
            </w:r>
          </w:p>
          <w:p w14:paraId="1389BBD1" w14:textId="6178AA3F" w:rsidR="00AB7D6E" w:rsidRPr="00BE3399" w:rsidRDefault="00AB7D6E" w:rsidP="00142304">
            <w:pPr>
              <w:pStyle w:val="MText"/>
            </w:pPr>
            <w:r w:rsidRPr="00BE3399">
              <w:t xml:space="preserve">European Adult Education Survey (AES): </w:t>
            </w:r>
            <w:hyperlink r:id="rId6" w:history="1">
              <w:r w:rsidRPr="00142304">
                <w:rPr>
                  <w:rStyle w:val="Hyperlink"/>
                </w:rPr>
                <w:t>http://www.eui.eu/Research/Library/ResearchGuides/Economics/Statistics/DataPortal/AES.aspx</w:t>
              </w:r>
            </w:hyperlink>
            <w:r w:rsidRPr="00BE3399">
              <w:rPr>
                <w:rStyle w:val="apple-converted-space"/>
              </w:rPr>
              <w:t xml:space="preserve"> </w:t>
            </w:r>
          </w:p>
          <w:p w14:paraId="25F6FC92" w14:textId="77777777" w:rsidR="00AB7D6E" w:rsidRPr="00BE3399" w:rsidRDefault="00AB7D6E" w:rsidP="00142304">
            <w:pPr>
              <w:pStyle w:val="MText"/>
            </w:pPr>
          </w:p>
          <w:p w14:paraId="0F4436FF" w14:textId="45615D1A" w:rsidR="00AB7D6E" w:rsidRPr="00BE3399" w:rsidRDefault="00AB7D6E" w:rsidP="00142304">
            <w:pPr>
              <w:pStyle w:val="MText"/>
            </w:pPr>
            <w:r w:rsidRPr="00BE3399">
              <w:t xml:space="preserve">European Continuing Vocational Training Survey: </w:t>
            </w:r>
            <w:hyperlink r:id="rId7" w:history="1">
              <w:r w:rsidRPr="00142304">
                <w:rPr>
                  <w:rStyle w:val="Hyperlink"/>
                </w:rPr>
                <w:t>http://ec.europa.eu/eurostat/cache/metadata/en/trng_cvts_esms.htm</w:t>
              </w:r>
            </w:hyperlink>
            <w:r w:rsidRPr="00BE3399">
              <w:rPr>
                <w:rStyle w:val="apple-converted-space"/>
              </w:rPr>
              <w:t xml:space="preserve"> </w:t>
            </w:r>
          </w:p>
          <w:p w14:paraId="46FE92D4" w14:textId="77777777" w:rsidR="00AB7D6E" w:rsidRPr="00BE3399" w:rsidRDefault="00AB7D6E" w:rsidP="00142304">
            <w:pPr>
              <w:pStyle w:val="MText"/>
            </w:pPr>
          </w:p>
          <w:p w14:paraId="38BF89A0" w14:textId="0C3EB160" w:rsidR="009C300C" w:rsidRPr="009F305C" w:rsidRDefault="00AB7D6E" w:rsidP="00142304">
            <w:pPr>
              <w:pStyle w:val="MText"/>
            </w:pPr>
            <w:r w:rsidRPr="00BE3399">
              <w:t xml:space="preserve">European Labour Force Survey: </w:t>
            </w:r>
            <w:hyperlink r:id="rId8" w:history="1">
              <w:r w:rsidRPr="00142304">
                <w:rPr>
                  <w:rStyle w:val="Hyperlink"/>
                </w:rPr>
                <w:t>http://ec.europa.eu/eurostat/cache/metadata/en/trng_lfs_4w0_esms.htm</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367C8A"/>
    <w:multiLevelType w:val="multilevel"/>
    <w:tmpl w:val="2702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0B1CEB"/>
    <w:multiLevelType w:val="hybridMultilevel"/>
    <w:tmpl w:val="594C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8613E2"/>
    <w:multiLevelType w:val="hybridMultilevel"/>
    <w:tmpl w:val="D1EAAD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81A726B"/>
    <w:multiLevelType w:val="hybridMultilevel"/>
    <w:tmpl w:val="9E0808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D3E03"/>
    <w:multiLevelType w:val="hybridMultilevel"/>
    <w:tmpl w:val="7AE4F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77C2F23"/>
    <w:multiLevelType w:val="hybridMultilevel"/>
    <w:tmpl w:val="15B8B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9"/>
  </w:num>
  <w:num w:numId="3">
    <w:abstractNumId w:val="18"/>
  </w:num>
  <w:num w:numId="4">
    <w:abstractNumId w:val="12"/>
  </w:num>
  <w:num w:numId="5">
    <w:abstractNumId w:val="28"/>
  </w:num>
  <w:num w:numId="6">
    <w:abstractNumId w:val="2"/>
  </w:num>
  <w:num w:numId="7">
    <w:abstractNumId w:val="1"/>
  </w:num>
  <w:num w:numId="8">
    <w:abstractNumId w:val="23"/>
  </w:num>
  <w:num w:numId="9">
    <w:abstractNumId w:val="4"/>
  </w:num>
  <w:num w:numId="10">
    <w:abstractNumId w:val="29"/>
  </w:num>
  <w:num w:numId="11">
    <w:abstractNumId w:val="15"/>
  </w:num>
  <w:num w:numId="12">
    <w:abstractNumId w:val="8"/>
  </w:num>
  <w:num w:numId="13">
    <w:abstractNumId w:val="32"/>
  </w:num>
  <w:num w:numId="14">
    <w:abstractNumId w:val="0"/>
  </w:num>
  <w:num w:numId="15">
    <w:abstractNumId w:val="10"/>
  </w:num>
  <w:num w:numId="16">
    <w:abstractNumId w:val="21"/>
  </w:num>
  <w:num w:numId="17">
    <w:abstractNumId w:val="24"/>
  </w:num>
  <w:num w:numId="18">
    <w:abstractNumId w:val="14"/>
  </w:num>
  <w:num w:numId="19">
    <w:abstractNumId w:val="25"/>
  </w:num>
  <w:num w:numId="20">
    <w:abstractNumId w:val="33"/>
  </w:num>
  <w:num w:numId="21">
    <w:abstractNumId w:val="9"/>
  </w:num>
  <w:num w:numId="22">
    <w:abstractNumId w:val="13"/>
  </w:num>
  <w:num w:numId="23">
    <w:abstractNumId w:val="7"/>
  </w:num>
  <w:num w:numId="24">
    <w:abstractNumId w:val="16"/>
  </w:num>
  <w:num w:numId="25">
    <w:abstractNumId w:val="6"/>
  </w:num>
  <w:num w:numId="26">
    <w:abstractNumId w:val="27"/>
  </w:num>
  <w:num w:numId="27">
    <w:abstractNumId w:val="3"/>
  </w:num>
  <w:num w:numId="28">
    <w:abstractNumId w:val="5"/>
  </w:num>
  <w:num w:numId="29">
    <w:abstractNumId w:val="11"/>
  </w:num>
  <w:num w:numId="30">
    <w:abstractNumId w:val="20"/>
  </w:num>
  <w:num w:numId="31">
    <w:abstractNumId w:val="31"/>
  </w:num>
  <w:num w:numId="32">
    <w:abstractNumId w:val="17"/>
  </w:num>
  <w:num w:numId="33">
    <w:abstractNumId w:val="2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55309"/>
    <w:rsid w:val="00072FC0"/>
    <w:rsid w:val="000A1682"/>
    <w:rsid w:val="00142304"/>
    <w:rsid w:val="001A2A7E"/>
    <w:rsid w:val="0020364C"/>
    <w:rsid w:val="0020532C"/>
    <w:rsid w:val="0023460C"/>
    <w:rsid w:val="00246C95"/>
    <w:rsid w:val="002A0D02"/>
    <w:rsid w:val="00306A5D"/>
    <w:rsid w:val="00311266"/>
    <w:rsid w:val="0034737E"/>
    <w:rsid w:val="00355B4E"/>
    <w:rsid w:val="003C163D"/>
    <w:rsid w:val="00416A79"/>
    <w:rsid w:val="00423816"/>
    <w:rsid w:val="004614FB"/>
    <w:rsid w:val="00473168"/>
    <w:rsid w:val="00494AA3"/>
    <w:rsid w:val="004D11AE"/>
    <w:rsid w:val="004E6A35"/>
    <w:rsid w:val="00513CD4"/>
    <w:rsid w:val="00583CC6"/>
    <w:rsid w:val="00587481"/>
    <w:rsid w:val="0059754A"/>
    <w:rsid w:val="005E1F5E"/>
    <w:rsid w:val="005E6457"/>
    <w:rsid w:val="00606920"/>
    <w:rsid w:val="006126A9"/>
    <w:rsid w:val="00633333"/>
    <w:rsid w:val="006445B3"/>
    <w:rsid w:val="00656B67"/>
    <w:rsid w:val="00712078"/>
    <w:rsid w:val="00740AF2"/>
    <w:rsid w:val="00791AA9"/>
    <w:rsid w:val="00803258"/>
    <w:rsid w:val="00856714"/>
    <w:rsid w:val="00870DFF"/>
    <w:rsid w:val="008D1210"/>
    <w:rsid w:val="008E2044"/>
    <w:rsid w:val="00937F08"/>
    <w:rsid w:val="00975E06"/>
    <w:rsid w:val="00984D84"/>
    <w:rsid w:val="0098555B"/>
    <w:rsid w:val="009862DA"/>
    <w:rsid w:val="009B768A"/>
    <w:rsid w:val="009C300C"/>
    <w:rsid w:val="009F157A"/>
    <w:rsid w:val="00A10855"/>
    <w:rsid w:val="00A13F90"/>
    <w:rsid w:val="00A1738D"/>
    <w:rsid w:val="00A66924"/>
    <w:rsid w:val="00A71707"/>
    <w:rsid w:val="00AB7D6E"/>
    <w:rsid w:val="00B35EE8"/>
    <w:rsid w:val="00BA6FEF"/>
    <w:rsid w:val="00BB1074"/>
    <w:rsid w:val="00BC2F94"/>
    <w:rsid w:val="00BD17B1"/>
    <w:rsid w:val="00BE2604"/>
    <w:rsid w:val="00BE72CB"/>
    <w:rsid w:val="00BF288A"/>
    <w:rsid w:val="00C0524B"/>
    <w:rsid w:val="00C25BBC"/>
    <w:rsid w:val="00CA0300"/>
    <w:rsid w:val="00CB32D9"/>
    <w:rsid w:val="00CF0023"/>
    <w:rsid w:val="00D22B94"/>
    <w:rsid w:val="00D7322D"/>
    <w:rsid w:val="00D976E4"/>
    <w:rsid w:val="00DD2A65"/>
    <w:rsid w:val="00DE2E54"/>
    <w:rsid w:val="00E06BAD"/>
    <w:rsid w:val="00E6258A"/>
    <w:rsid w:val="00E62D18"/>
    <w:rsid w:val="00E85E03"/>
    <w:rsid w:val="00EF50BD"/>
    <w:rsid w:val="00F31B13"/>
    <w:rsid w:val="00F41CE1"/>
    <w:rsid w:val="00F431FE"/>
    <w:rsid w:val="00F4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0D0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2A0D0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2A0D02"/>
    <w:rPr>
      <w:rFonts w:asciiTheme="majorHAnsi" w:eastAsiaTheme="majorEastAsia" w:hAnsiTheme="majorHAnsi" w:cstheme="majorBidi"/>
      <w:color w:val="2F5496" w:themeColor="accent1" w:themeShade="BF"/>
      <w:sz w:val="21"/>
      <w:szCs w:val="21"/>
      <w:shd w:val="clear" w:color="auto" w:fill="FFFFFF"/>
      <w:lang w:eastAsia="en-GB"/>
    </w:rPr>
  </w:style>
  <w:style w:type="character" w:customStyle="1" w:styleId="Heading3Char">
    <w:name w:val="Heading 3 Char"/>
    <w:basedOn w:val="DefaultParagraphFont"/>
    <w:link w:val="Heading3"/>
    <w:uiPriority w:val="9"/>
    <w:semiHidden/>
    <w:rsid w:val="002A0D02"/>
    <w:rPr>
      <w:rFonts w:asciiTheme="majorHAnsi" w:eastAsiaTheme="majorEastAsia" w:hAnsiTheme="majorHAnsi" w:cstheme="majorBidi"/>
      <w:color w:val="1F3763" w:themeColor="accent1" w:themeShade="7F"/>
      <w:sz w:val="24"/>
      <w:szCs w:val="24"/>
      <w:shd w:val="clear" w:color="auto" w:fill="FFFFFF"/>
      <w:lang w:eastAsia="en-GB"/>
    </w:rPr>
  </w:style>
  <w:style w:type="paragraph" w:customStyle="1" w:styleId="form-control-static">
    <w:name w:val="form-control-static"/>
    <w:basedOn w:val="Normal"/>
    <w:rsid w:val="002A0D02"/>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 w:type="character" w:styleId="Strong">
    <w:name w:val="Strong"/>
    <w:basedOn w:val="DefaultParagraphFont"/>
    <w:uiPriority w:val="22"/>
    <w:qFormat/>
    <w:rsid w:val="002A0D02"/>
    <w:rPr>
      <w:b/>
      <w:bCs/>
    </w:rPr>
  </w:style>
  <w:style w:type="character" w:customStyle="1" w:styleId="apple-converted-space">
    <w:name w:val="apple-converted-space"/>
    <w:basedOn w:val="DefaultParagraphFont"/>
    <w:rsid w:val="002A0D02"/>
  </w:style>
  <w:style w:type="paragraph" w:styleId="NormalWeb">
    <w:name w:val="Normal (Web)"/>
    <w:basedOn w:val="Normal"/>
    <w:uiPriority w:val="99"/>
    <w:semiHidden/>
    <w:unhideWhenUsed/>
    <w:rsid w:val="002A0D02"/>
    <w:pPr>
      <w:shd w:val="clear" w:color="auto" w:fill="auto"/>
      <w:spacing w:before="100" w:beforeAutospacing="1" w:after="100" w:afterAutospacing="1" w:line="240" w:lineRule="auto"/>
    </w:pPr>
    <w:rPr>
      <w:rFonts w:ascii="Times New Roman" w:hAnsi="Times New Roman" w:cs="Times New Roman"/>
      <w:color w:val="auto"/>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eurostat/cache/metadata/en/trng_lfs_4w0_esms.htm" TargetMode="External"/><Relationship Id="rId3" Type="http://schemas.openxmlformats.org/officeDocument/2006/relationships/settings" Target="settings.xml"/><Relationship Id="rId7" Type="http://schemas.openxmlformats.org/officeDocument/2006/relationships/hyperlink" Target="http://ec.europa.eu/eurostat/cache/metadata/en/trng_cvts_esms.ht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ui.eu/Research/Library/ResearchGuides/Economics/Statistics/DataPortal/AES.aspx%20" TargetMode="External"/><Relationship Id="rId5" Type="http://schemas.openxmlformats.org/officeDocument/2006/relationships/hyperlink" Target="http://www.uis.unesco.org/Pages/default.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18</cp:revision>
  <dcterms:created xsi:type="dcterms:W3CDTF">2020-08-14T16:43:00Z</dcterms:created>
  <dcterms:modified xsi:type="dcterms:W3CDTF">2020-08-14T17:18:00Z</dcterms:modified>
</cp:coreProperties>
</file>